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86" w:rsidRPr="003E0809" w:rsidRDefault="003E0809">
      <w:pPr>
        <w:pStyle w:val="ConsPlusNormal"/>
        <w:ind w:left="4677"/>
        <w:outlineLvl w:val="0"/>
        <w:rPr>
          <w:rFonts w:ascii="Times New Roman" w:hAnsi="Times New Roman" w:cs="Times New Roman"/>
          <w:lang w:val="ru-RU"/>
        </w:rPr>
      </w:pPr>
      <w:r w:rsidRPr="003E0809">
        <w:rPr>
          <w:rFonts w:ascii="Times New Roman" w:eastAsia="Times New Roman" w:hAnsi="Times New Roman" w:cs="Times New Roman"/>
          <w:sz w:val="28"/>
          <w:szCs w:val="28"/>
          <w:lang w:val="ru-RU"/>
        </w:rPr>
        <w:t>Приложение № 2</w:t>
      </w:r>
    </w:p>
    <w:p w:rsidR="00284986" w:rsidRPr="003E0809" w:rsidRDefault="003E0809">
      <w:pPr>
        <w:pStyle w:val="ConsPlusNormal"/>
        <w:ind w:left="4677"/>
        <w:rPr>
          <w:rFonts w:ascii="Times New Roman" w:hAnsi="Times New Roman" w:cs="Times New Roman"/>
          <w:lang w:val="ru-RU"/>
        </w:rPr>
      </w:pPr>
      <w:r w:rsidRPr="003E0809">
        <w:rPr>
          <w:rFonts w:ascii="Times New Roman" w:eastAsia="Times New Roman" w:hAnsi="Times New Roman" w:cs="Times New Roman"/>
          <w:sz w:val="28"/>
          <w:szCs w:val="28"/>
          <w:lang w:val="ru-RU"/>
        </w:rPr>
        <w:t>к Закону Оренбургской области</w:t>
      </w:r>
    </w:p>
    <w:p w:rsidR="00284986" w:rsidRPr="003E0809" w:rsidRDefault="003E0809">
      <w:pPr>
        <w:pStyle w:val="ConsPlusNormal"/>
        <w:ind w:left="4677"/>
        <w:rPr>
          <w:rFonts w:ascii="Times New Roman" w:hAnsi="Times New Roman" w:cs="Times New Roman"/>
          <w:lang w:val="ru-RU"/>
        </w:rPr>
      </w:pPr>
      <w:r w:rsidRPr="003E0809">
        <w:rPr>
          <w:rFonts w:ascii="Times New Roman" w:eastAsia="Times New Roman" w:hAnsi="Times New Roman" w:cs="Times New Roman"/>
          <w:sz w:val="28"/>
          <w:szCs w:val="28"/>
          <w:lang w:val="ru-RU"/>
        </w:rPr>
        <w:t>О межбюджетных отношениях</w:t>
      </w:r>
    </w:p>
    <w:p w:rsidR="00284986" w:rsidRPr="003E0809" w:rsidRDefault="003E0809">
      <w:pPr>
        <w:pStyle w:val="ConsPlusNormal"/>
        <w:ind w:left="4677"/>
        <w:rPr>
          <w:rFonts w:ascii="Times New Roman" w:hAnsi="Times New Roman" w:cs="Times New Roman"/>
          <w:lang w:val="ru-RU"/>
        </w:rPr>
      </w:pPr>
      <w:r w:rsidRPr="003E0809">
        <w:rPr>
          <w:rFonts w:ascii="Times New Roman" w:eastAsia="Times New Roman" w:hAnsi="Times New Roman" w:cs="Times New Roman"/>
          <w:sz w:val="28"/>
          <w:szCs w:val="28"/>
          <w:lang w:val="ru-RU"/>
        </w:rPr>
        <w:t>в Оренбургской области</w:t>
      </w:r>
    </w:p>
    <w:p w:rsidR="00284986" w:rsidRPr="003E0809" w:rsidRDefault="003E0809">
      <w:pPr>
        <w:pStyle w:val="ConsPlusNormal"/>
        <w:ind w:left="4677"/>
        <w:rPr>
          <w:rFonts w:ascii="Times New Roman" w:hAnsi="Times New Roman" w:cs="Times New Roman"/>
          <w:lang w:val="ru-RU"/>
        </w:rPr>
      </w:pPr>
      <w:r w:rsidRPr="003E0809">
        <w:rPr>
          <w:rFonts w:ascii="Times New Roman" w:eastAsia="Times New Roman" w:hAnsi="Times New Roman" w:cs="Times New Roman"/>
          <w:sz w:val="28"/>
          <w:szCs w:val="28"/>
          <w:lang w:val="ru-RU"/>
        </w:rPr>
        <w:t>от 30 ноября 2005 г. № 2738/499-</w:t>
      </w:r>
      <w:r>
        <w:rPr>
          <w:rFonts w:ascii="Times New Roman" w:eastAsia="Times New Roman" w:hAnsi="Times New Roman" w:cs="Times New Roman"/>
          <w:sz w:val="28"/>
          <w:szCs w:val="28"/>
        </w:rPr>
        <w:t>III</w:t>
      </w:r>
      <w:r w:rsidRPr="003E0809">
        <w:rPr>
          <w:rFonts w:ascii="Times New Roman" w:eastAsia="Times New Roman" w:hAnsi="Times New Roman" w:cs="Times New Roman"/>
          <w:sz w:val="28"/>
          <w:szCs w:val="28"/>
          <w:lang w:val="ru-RU"/>
        </w:rPr>
        <w:t>-ОЗ</w:t>
      </w:r>
    </w:p>
    <w:p w:rsidR="00284986" w:rsidRPr="003E0809" w:rsidRDefault="00284986">
      <w:pPr>
        <w:pStyle w:val="ConsPlusNormal"/>
        <w:ind w:left="4677"/>
        <w:rPr>
          <w:rFonts w:ascii="Times New Roman" w:hAnsi="Times New Roman" w:cs="Times New Roman"/>
          <w:lang w:val="ru-RU"/>
        </w:rPr>
      </w:pPr>
    </w:p>
    <w:p w:rsidR="00284986" w:rsidRPr="003E0809" w:rsidRDefault="003E0809">
      <w:pPr>
        <w:pStyle w:val="ConsPlusTitle"/>
        <w:spacing w:before="300"/>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Методика</w:t>
      </w:r>
    </w:p>
    <w:p w:rsidR="00284986" w:rsidRPr="003E0809" w:rsidRDefault="003E0809">
      <w:pPr>
        <w:pStyle w:val="ConsPlusTitle"/>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расчета дотаций на выравнивание бюджетной обеспеченности</w:t>
      </w:r>
    </w:p>
    <w:p w:rsidR="00284986" w:rsidRPr="003E0809" w:rsidRDefault="003E0809">
      <w:pPr>
        <w:pStyle w:val="ConsPlusTitle"/>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муниципальных округов, городских округов,</w:t>
      </w:r>
    </w:p>
    <w:p w:rsidR="00284986" w:rsidRPr="003E0809" w:rsidRDefault="003E0809">
      <w:pPr>
        <w:pStyle w:val="ConsPlusTitle"/>
        <w:jc w:val="center"/>
        <w:rPr>
          <w:rFonts w:ascii="Times New Roman" w:eastAsia="Times New Roman" w:hAnsi="Times New Roman" w:cs="Times New Roman"/>
          <w:sz w:val="28"/>
          <w:szCs w:val="28"/>
          <w:lang w:val="ru-RU"/>
        </w:rPr>
      </w:pPr>
      <w:r w:rsidRPr="003E0809">
        <w:rPr>
          <w:rFonts w:ascii="Times New Roman" w:eastAsia="Times New Roman" w:hAnsi="Times New Roman" w:cs="Times New Roman"/>
          <w:sz w:val="28"/>
          <w:szCs w:val="28"/>
          <w:lang w:val="ru-RU"/>
        </w:rPr>
        <w:t>муниципальных районов</w:t>
      </w:r>
    </w:p>
    <w:p w:rsidR="00284986" w:rsidRPr="003E0809" w:rsidRDefault="00284986">
      <w:pPr>
        <w:pStyle w:val="ConsPlusTitle"/>
        <w:jc w:val="center"/>
        <w:rPr>
          <w:rFonts w:ascii="Times New Roman" w:hAnsi="Times New Roman" w:cs="Times New Roman"/>
          <w:sz w:val="28"/>
          <w:szCs w:val="28"/>
          <w:lang w:val="ru-RU"/>
        </w:rPr>
      </w:pPr>
      <w:bookmarkStart w:id="0" w:name="_GoBack"/>
      <w:bookmarkEnd w:id="0"/>
    </w:p>
    <w:p w:rsidR="00284986" w:rsidRPr="003E0809" w:rsidRDefault="003E0809">
      <w:pPr>
        <w:pStyle w:val="ConsPlusNormal"/>
        <w:jc w:val="center"/>
        <w:rPr>
          <w:rFonts w:ascii="Times New Roman" w:eastAsia="Times New Roman" w:hAnsi="Times New Roman" w:cs="Times New Roman"/>
          <w:sz w:val="28"/>
          <w:szCs w:val="28"/>
          <w:lang w:val="ru-RU"/>
        </w:rPr>
      </w:pPr>
      <w:r w:rsidRPr="003E0809">
        <w:rPr>
          <w:rFonts w:ascii="Times New Roman" w:eastAsia="Times New Roman" w:hAnsi="Times New Roman" w:cs="Times New Roman"/>
          <w:i/>
          <w:iCs/>
          <w:sz w:val="28"/>
          <w:szCs w:val="28"/>
          <w:lang w:val="ru-RU"/>
        </w:rPr>
        <w:t>(</w:t>
      </w:r>
      <w:r w:rsidR="00D64C41">
        <w:rPr>
          <w:rFonts w:ascii="Times New Roman" w:eastAsia="Times New Roman" w:hAnsi="Times New Roman" w:cs="Times New Roman"/>
          <w:i/>
          <w:iCs/>
          <w:sz w:val="28"/>
          <w:szCs w:val="28"/>
          <w:lang w:val="ru-RU"/>
        </w:rPr>
        <w:t xml:space="preserve">с </w:t>
      </w:r>
      <w:r w:rsidRPr="003E0809">
        <w:rPr>
          <w:rFonts w:ascii="Times New Roman" w:eastAsia="Times New Roman" w:hAnsi="Times New Roman" w:cs="Times New Roman"/>
          <w:i/>
          <w:iCs/>
          <w:sz w:val="28"/>
          <w:szCs w:val="28"/>
          <w:lang w:val="ru-RU"/>
        </w:rPr>
        <w:t>изменени</w:t>
      </w:r>
      <w:r w:rsidR="00D64C41">
        <w:rPr>
          <w:rFonts w:ascii="Times New Roman" w:eastAsia="Times New Roman" w:hAnsi="Times New Roman" w:cs="Times New Roman"/>
          <w:i/>
          <w:iCs/>
          <w:sz w:val="28"/>
          <w:szCs w:val="28"/>
          <w:lang w:val="ru-RU"/>
        </w:rPr>
        <w:t>ями</w:t>
      </w:r>
      <w:r w:rsidRPr="003E0809">
        <w:rPr>
          <w:rFonts w:ascii="Times New Roman" w:eastAsia="Times New Roman" w:hAnsi="Times New Roman" w:cs="Times New Roman"/>
          <w:i/>
          <w:iCs/>
          <w:sz w:val="28"/>
          <w:szCs w:val="28"/>
          <w:lang w:val="ru-RU"/>
        </w:rPr>
        <w:t>)</w:t>
      </w:r>
    </w:p>
    <w:p w:rsidR="00284986" w:rsidRPr="003E0809" w:rsidRDefault="00284986">
      <w:pPr>
        <w:pStyle w:val="ConsPlusNormal"/>
        <w:jc w:val="center"/>
        <w:rPr>
          <w:rFonts w:ascii="Times New Roman" w:hAnsi="Times New Roman" w:cs="Times New Roman"/>
          <w:sz w:val="28"/>
          <w:szCs w:val="28"/>
          <w:lang w:val="ru-RU"/>
        </w:rPr>
      </w:pPr>
    </w:p>
    <w:p w:rsidR="00284986" w:rsidRPr="003E0809" w:rsidRDefault="003E0809">
      <w:pPr>
        <w:pStyle w:val="ConsPlusNormal0"/>
        <w:ind w:firstLine="540"/>
        <w:jc w:val="both"/>
        <w:rPr>
          <w:rFonts w:ascii="Times New Roman" w:hAnsi="Times New Roman" w:cs="Times New Roman"/>
          <w:sz w:val="26"/>
          <w:lang w:val="ru-RU"/>
        </w:rPr>
      </w:pPr>
      <w:r w:rsidRPr="003E0809">
        <w:rPr>
          <w:rFonts w:ascii="Times New Roman" w:eastAsia="Times New Roman" w:hAnsi="Times New Roman" w:cs="Times New Roman"/>
          <w:sz w:val="28"/>
          <w:szCs w:val="28"/>
          <w:lang w:val="ru-RU"/>
        </w:rPr>
        <w:t>В методике расчета дотаций на выравнивание бюджетной обеспеченности муниципальных округов, городских округов, муниципальных районов Оренбургской области (далее – муниципальных округов, городских округов, муниципальных районов) используются следующие основные понятия:</w:t>
      </w:r>
    </w:p>
    <w:p w:rsidR="00284986" w:rsidRPr="003E0809" w:rsidRDefault="00284986">
      <w:pPr>
        <w:pStyle w:val="ConsPlusNormal"/>
        <w:ind w:firstLine="540"/>
        <w:jc w:val="both"/>
        <w:rPr>
          <w:rFonts w:ascii="Times New Roman" w:hAnsi="Times New Roman" w:cs="Times New Roman"/>
          <w:strike/>
          <w:lang w:val="ru-RU"/>
        </w:rPr>
      </w:pP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1) бюджетная обеспеченность муниципального округа, городского округа, муниципального района - отношение индекса налогового потенциала к индексу бюджетных расходов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2) индекс бюджетных расходов муниципального округа, городского округа, муниципального района показывает, насколько больше (меньше) средств бюджета муниципального округа, городского округа, муниципального района в расчете на душу населения по сравнению со средним по всем муниципальным округам, городским округам, муниципальным районам уровнем необходимо затратить для осуществления полномочий по решению вопросов местного значения муниципального округа, городского округа, муниципального района с учетом специфики социально-демографического состава обслуживаемого населения и иных объективных факторов, влияющих на стоимость предоставляемых муниципальных услуг в расчете на одного жителя.</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3) индекс налогового потенциала муниципального округа, городского округа, муниципального района - отношение налогового потенциала муниципального округа, городского округа, муниципального района в расчете на одного жителя к аналогичному показателю в среднем по всем муниципальным округам, городским округам, муниципальным районам;</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 xml:space="preserve">4) налоговый потенциал муниципального округа, городского округа, муниципального района - оценка налоговых доходов, которые могут быть получены бюджетом муниципального округа, городского округа, </w:t>
      </w:r>
      <w:r w:rsidRPr="003E0809">
        <w:rPr>
          <w:rFonts w:ascii="Times New Roman" w:eastAsia="Times New Roman" w:hAnsi="Times New Roman" w:cs="Times New Roman"/>
          <w:sz w:val="28"/>
          <w:szCs w:val="28"/>
          <w:lang w:val="ru-RU"/>
        </w:rPr>
        <w:lastRenderedPageBreak/>
        <w:t>муниципального района исходя из уровня развития и структуры экономики и (или) налоговой базы из налоговых источников, закрепленных за этим муниципальным округом, городским округом, муниципальным районом.</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При расчете дотаций на выравнивание бюджетной обеспеченности муниципальных округов, городских округов, муниципальных районов на плановый период индекс бюджетных расходов и численность населения принимаются равными индексам бюджетных расходов и численности населения, используемым при распределении дотаций на очередной финансовый год.</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Методика расчета дотаций на выравнивание бюджетной обеспеченности муниципальных округов, городских округов, муниципальных районов включает в себя следующие этапы:</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 xml:space="preserve">1) расчет бюджетной обеспеченности муниципальных округов, городских округов, муниципальных районов; </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2) расчет распределения дотаций на выравнивание бюджетной обеспеченности муниципальных округов, городских округов, муниципальных районов.</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Бюджетная обеспеченность муниципального округа, городского округа, муниципального района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БО</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ИНП</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ИБР</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БО</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бюджетная обеспеченность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ИНП</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индекс налогового потенциала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ИБР</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индекс бюджетных расходов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Индекс налогового потенциала муниципального округа, городского округа, муниципального района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ИНП</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((НП</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СР</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 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 (НП / Н),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ИНП</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индекс налогового потенциала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НП</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налоговый потенциал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Default="003E0809">
      <w:pPr>
        <w:pStyle w:val="ConsPlusNormal"/>
        <w:spacing w:before="240"/>
        <w:ind w:firstLine="540"/>
        <w:jc w:val="both"/>
        <w:rPr>
          <w:rFonts w:ascii="Times New Roman" w:hAnsi="Times New Roman" w:cs="Times New Roman"/>
        </w:rPr>
      </w:pPr>
      <w:r w:rsidRPr="003E0809">
        <w:rPr>
          <w:rFonts w:ascii="Times New Roman" w:eastAsia="Times New Roman" w:hAnsi="Times New Roman" w:cs="Times New Roman"/>
          <w:sz w:val="28"/>
          <w:szCs w:val="28"/>
          <w:lang w:val="ru-RU"/>
        </w:rPr>
        <w:lastRenderedPageBreak/>
        <w:t>СР</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объем субсидии из бюджета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в областной бюджет, рассчитанный в соответствии с  расчета субсидий из бюджетов муниципальных округов, городских округов, муниципальных районов в областной бюджет согласно приложению </w:t>
      </w:r>
      <w:r>
        <w:rPr>
          <w:rFonts w:ascii="Times New Roman" w:eastAsia="Times New Roman" w:hAnsi="Times New Roman" w:cs="Times New Roman"/>
          <w:sz w:val="28"/>
          <w:szCs w:val="28"/>
        </w:rPr>
        <w:t>5 к настоящему Закону;</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численность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которая рассчитывается как среднегодовая численность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за последние 5 отчетных лет по данным Территориального органа Федеральной службы государственной статистики по Оренбургской области, но не менее численности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на 1 января текущего финансового года (далее - численность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НП - суммарный налоговый потенциал всех муниципальных округов, городских округов, муниципальных районов</w:t>
      </w:r>
      <w:r w:rsidRPr="003E0809">
        <w:rPr>
          <w:rFonts w:ascii="Times New Roman" w:eastAsia="Times New Roman" w:hAnsi="Times New Roman" w:cs="Times New Roman"/>
          <w:strike/>
          <w:sz w:val="28"/>
          <w:szCs w:val="28"/>
          <w:lang w:val="ru-RU"/>
        </w:rPr>
        <w:t>;</w:t>
      </w:r>
      <w:r w:rsidRPr="003E0809">
        <w:rPr>
          <w:rFonts w:ascii="Times New Roman" w:eastAsia="Times New Roman" w:hAnsi="Times New Roman" w:cs="Times New Roman"/>
          <w:sz w:val="28"/>
          <w:szCs w:val="28"/>
          <w:lang w:val="ru-RU"/>
        </w:rPr>
        <w:t xml:space="preserve"> </w:t>
      </w:r>
    </w:p>
    <w:p w:rsidR="00284986" w:rsidRPr="003E0809" w:rsidRDefault="00284986">
      <w:pPr>
        <w:pStyle w:val="ConsPlusNormal"/>
        <w:tabs>
          <w:tab w:val="left" w:pos="993"/>
        </w:tabs>
        <w:ind w:firstLine="709"/>
        <w:jc w:val="both"/>
        <w:rPr>
          <w:rFonts w:ascii="Times New Roman" w:hAnsi="Times New Roman" w:cs="Times New Roman"/>
          <w:sz w:val="28"/>
          <w:szCs w:val="28"/>
          <w:lang w:val="ru-RU"/>
        </w:rPr>
      </w:pPr>
    </w:p>
    <w:p w:rsidR="00284986" w:rsidRPr="003E0809" w:rsidRDefault="003E0809">
      <w:pPr>
        <w:pStyle w:val="ConsPlusNormal"/>
        <w:tabs>
          <w:tab w:val="left" w:pos="993"/>
        </w:tabs>
        <w:ind w:firstLine="709"/>
        <w:jc w:val="both"/>
        <w:rPr>
          <w:rFonts w:ascii="Times New Roman" w:eastAsia="Times New Roman" w:hAnsi="Times New Roman" w:cs="Times New Roman"/>
          <w:sz w:val="28"/>
          <w:szCs w:val="28"/>
          <w:lang w:val="ru-RU"/>
        </w:rPr>
      </w:pPr>
      <w:r w:rsidRPr="003E0809">
        <w:rPr>
          <w:rFonts w:ascii="Times New Roman" w:eastAsia="Times New Roman" w:hAnsi="Times New Roman" w:cs="Times New Roman"/>
          <w:sz w:val="28"/>
          <w:szCs w:val="28"/>
          <w:lang w:val="ru-RU"/>
        </w:rPr>
        <w:t>Н - численность постоянного населения Оренбургской области, которая определяется суммарной численностью постоянного населения всех муниципальных округов, городских округов, муниципальных районов области, рассчитанной как среднегодовая численность постоянного населения всех муниципальных округов, городских округов, муниципальных районов области за последние 5 отчетных лет по данным Территориального органа Федеральной службы государственной статистики по Оренбургской области, но не менее численности постоянного населения всех муниципальных округов, городских округов, муниципальных районов области на 1 января текущего финансового года (далее - численность постоянного населения Оренбургской области).</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Расчет налогового потенциала муниципального округа, городского округа, муниципального района производится по репрезентативной системе налогов в разрезе отдельных видов налогов, а также в разрезе налоговых ставок по налогу, взимаемому в связи с применением упрощенной системы налогообложения, в том числе минимальному налогу, исходя из показателей, характеризующих базу для расчета налогового потенциала, прогноза поступлений конкретного налога с территорий всех муниципальных округов, городских округов, муниципальных районов в консолидированный бюджет Оренбургской области и норматива отчислений от данного налога в бюджеты муниципальных округов, городских округов, муниципальных районов.</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 xml:space="preserve">Репрезентативная система налогов включает в себя основные налоги, зачисляемые в бюджеты муниципальных округов, городских округов, муниципальных районов, и отражает доходные возможности, которые </w:t>
      </w:r>
      <w:r w:rsidRPr="003E0809">
        <w:rPr>
          <w:rFonts w:ascii="Times New Roman" w:eastAsia="Times New Roman" w:hAnsi="Times New Roman" w:cs="Times New Roman"/>
          <w:sz w:val="28"/>
          <w:szCs w:val="28"/>
          <w:lang w:val="ru-RU"/>
        </w:rPr>
        <w:lastRenderedPageBreak/>
        <w:t>учитываются при распределении финансовых средств в рамках межбюджетного регулирования.</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Состав репрезентативной системы налогов, перечень показателей, характеризующих базу для расчета налогового потенциала по видам налогов, а также источник данных приведены в .</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right"/>
        <w:outlineLvl w:val="1"/>
        <w:rPr>
          <w:rFonts w:ascii="Times New Roman" w:hAnsi="Times New Roman" w:cs="Times New Roman"/>
          <w:lang w:val="ru-RU"/>
        </w:rPr>
      </w:pPr>
      <w:r w:rsidRPr="003E0809">
        <w:rPr>
          <w:rFonts w:ascii="Times New Roman" w:eastAsia="Times New Roman" w:hAnsi="Times New Roman" w:cs="Times New Roman"/>
          <w:sz w:val="28"/>
          <w:szCs w:val="28"/>
          <w:lang w:val="ru-RU"/>
        </w:rPr>
        <w:t>Таблица 1</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Title"/>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Состав</w:t>
      </w:r>
    </w:p>
    <w:p w:rsidR="00284986" w:rsidRPr="003E0809" w:rsidRDefault="003E0809">
      <w:pPr>
        <w:pStyle w:val="ConsPlusTitle"/>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репрезентативной системы налогов для расчета налогового</w:t>
      </w:r>
    </w:p>
    <w:p w:rsidR="00284986" w:rsidRPr="003E0809" w:rsidRDefault="003E0809">
      <w:pPr>
        <w:pStyle w:val="ConsPlusTitle"/>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потенциала муниципальных округов, городских округов,</w:t>
      </w:r>
    </w:p>
    <w:p w:rsidR="00284986" w:rsidRDefault="003E0809">
      <w:pPr>
        <w:pStyle w:val="ConsPlusTitle"/>
        <w:jc w:val="center"/>
        <w:rPr>
          <w:rFonts w:ascii="Times New Roman" w:hAnsi="Times New Roman" w:cs="Times New Roman"/>
        </w:rPr>
      </w:pPr>
      <w:r>
        <w:rPr>
          <w:rFonts w:ascii="Times New Roman" w:eastAsia="Times New Roman" w:hAnsi="Times New Roman" w:cs="Times New Roman"/>
          <w:sz w:val="28"/>
          <w:szCs w:val="28"/>
        </w:rPr>
        <w:t>муниципальных районов</w:t>
      </w:r>
    </w:p>
    <w:p w:rsidR="00284986" w:rsidRDefault="00284986">
      <w:pPr>
        <w:pStyle w:val="ConsPlusNormal"/>
        <w:jc w:val="both"/>
        <w:rPr>
          <w:rFonts w:ascii="Times New Roman" w:hAnsi="Times New Roman" w:cs="Times New Roman"/>
        </w:rPr>
      </w:pPr>
    </w:p>
    <w:tbl>
      <w:tblPr>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top w:w="102" w:type="dxa"/>
          <w:left w:w="62" w:type="dxa"/>
          <w:bottom w:w="102" w:type="dxa"/>
          <w:right w:w="62" w:type="dxa"/>
        </w:tblCellMar>
        <w:tblLook w:val="04A0" w:firstRow="1" w:lastRow="0" w:firstColumn="1" w:lastColumn="0" w:noHBand="0" w:noVBand="1"/>
      </w:tblPr>
      <w:tblGrid>
        <w:gridCol w:w="3067"/>
        <w:gridCol w:w="2891"/>
        <w:gridCol w:w="3175"/>
      </w:tblGrid>
      <w:tr w:rsidR="00284986">
        <w:tc>
          <w:tcPr>
            <w:tcW w:w="3067"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Наименование налога</w:t>
            </w:r>
          </w:p>
        </w:tc>
        <w:tc>
          <w:tcPr>
            <w:tcW w:w="289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0"/>
                <w:lang w:val="ru-RU"/>
              </w:rPr>
              <w:t>Показатель, характеризующий базу для расчета налогового потенциала</w:t>
            </w:r>
          </w:p>
        </w:tc>
        <w:tc>
          <w:tcPr>
            <w:tcW w:w="3175"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Источник информации</w:t>
            </w:r>
          </w:p>
        </w:tc>
      </w:tr>
      <w:tr w:rsidR="00284986">
        <w:tc>
          <w:tcPr>
            <w:tcW w:w="3067"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Налог на доходы физических лиц</w:t>
            </w:r>
          </w:p>
        </w:tc>
        <w:tc>
          <w:tcPr>
            <w:tcW w:w="2891"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both"/>
              <w:rPr>
                <w:rFonts w:ascii="Times New Roman" w:hAnsi="Times New Roman" w:cs="Times New Roman"/>
              </w:rPr>
            </w:pPr>
            <w:r>
              <w:rPr>
                <w:rFonts w:ascii="Times New Roman" w:eastAsia="Times New Roman" w:hAnsi="Times New Roman" w:cs="Times New Roman"/>
                <w:sz w:val="20"/>
              </w:rPr>
              <w:t>налогооблагаемый фонд оплаты труда</w:t>
            </w:r>
          </w:p>
        </w:tc>
        <w:tc>
          <w:tcPr>
            <w:tcW w:w="3175"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информация министерства экономического развития, инвестиций, туризма и внешних связей Оренбургской области;</w:t>
            </w:r>
          </w:p>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отчетность Управления Федеральной налоговой службы по Оренбургской области</w:t>
            </w:r>
          </w:p>
        </w:tc>
      </w:tr>
      <w:tr w:rsidR="00284986">
        <w:tc>
          <w:tcPr>
            <w:tcW w:w="3067"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Налог, взимаемый в связи с применением упрощенной системы налогообложения, включая минимальный налог</w:t>
            </w:r>
          </w:p>
        </w:tc>
        <w:tc>
          <w:tcPr>
            <w:tcW w:w="289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налоговая база (доходы; доходы, уменьшенные на величину расходов)</w:t>
            </w:r>
          </w:p>
        </w:tc>
        <w:tc>
          <w:tcPr>
            <w:tcW w:w="3175"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отчетность Управления Федеральной налоговой службы по Оренбургской области</w:t>
            </w:r>
          </w:p>
        </w:tc>
      </w:tr>
      <w:tr w:rsidR="00284986">
        <w:tc>
          <w:tcPr>
            <w:tcW w:w="3067"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89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количество государственных пошлин (юридически значимых действий) по делам, рассматриваемым в судах общей юрисдикции, мировыми судьями (за исключением Верховного Суда Российской Федерации)</w:t>
            </w:r>
          </w:p>
        </w:tc>
        <w:tc>
          <w:tcPr>
            <w:tcW w:w="3175"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both"/>
              <w:rPr>
                <w:rFonts w:ascii="Times New Roman" w:hAnsi="Times New Roman" w:cs="Times New Roman"/>
                <w:lang w:val="ru-RU"/>
              </w:rPr>
            </w:pPr>
            <w:r w:rsidRPr="003E0809">
              <w:rPr>
                <w:rFonts w:ascii="Times New Roman" w:eastAsia="Times New Roman" w:hAnsi="Times New Roman" w:cs="Times New Roman"/>
                <w:sz w:val="20"/>
                <w:lang w:val="ru-RU"/>
              </w:rPr>
              <w:t>информация Управления Федеральной налоговой службы по Оренбургской области</w:t>
            </w:r>
          </w:p>
        </w:tc>
      </w:tr>
    </w:tbl>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Налоговый потенциал муниципального округа, городского округа, муниципального района по отдельному налогу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НП</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(ПН</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3E0809">
        <w:rPr>
          <w:rFonts w:ascii="Times New Roman" w:eastAsia="Times New Roman" w:hAnsi="Times New Roman" w:cs="Times New Roman"/>
          <w:sz w:val="28"/>
          <w:szCs w:val="28"/>
          <w:lang w:val="ru-RU"/>
        </w:rPr>
        <w:t xml:space="preserve"> Норм</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3E0809">
        <w:rPr>
          <w:rFonts w:ascii="Times New Roman" w:eastAsia="Times New Roman" w:hAnsi="Times New Roman" w:cs="Times New Roman"/>
          <w:sz w:val="28"/>
          <w:szCs w:val="28"/>
          <w:lang w:val="ru-RU"/>
        </w:rPr>
        <w:t xml:space="preserve"> (НБ</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НБ</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 / 100,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НП</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налоговый потенциал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по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-му налогу;</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ПН</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 xml:space="preserve"> - прогноз поступлений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-го налога в консолидированный бюджет Оренбургской области в планируемом году;</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lastRenderedPageBreak/>
        <w:t>Норм</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 xml:space="preserve"> - норматив отчислений в бюджеты муниципальных округов, городских округов, муниципальных районов от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-го налога, выраженный в процентах;</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НБ</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показатель, характеризующий базу для расчета налогового потенциала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по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-му налогу;</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НБ</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 xml:space="preserve"> - суммарный показатель, характеризующий базу для расчета налогового потенциала по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-му налогу в целом по Оренбургской области.</w:t>
      </w:r>
    </w:p>
    <w:p w:rsidR="00284986" w:rsidRPr="003E0809" w:rsidRDefault="00284986">
      <w:pPr>
        <w:pStyle w:val="ConsPlusNormal"/>
        <w:tabs>
          <w:tab w:val="left" w:pos="993"/>
        </w:tabs>
        <w:ind w:firstLine="709"/>
        <w:jc w:val="both"/>
        <w:rPr>
          <w:rFonts w:ascii="Times New Roman" w:hAnsi="Times New Roman" w:cs="Times New Roman"/>
          <w:sz w:val="28"/>
          <w:szCs w:val="28"/>
          <w:lang w:val="ru-RU"/>
        </w:rPr>
      </w:pPr>
    </w:p>
    <w:p w:rsidR="00284986" w:rsidRPr="003E0809" w:rsidRDefault="003E0809">
      <w:pPr>
        <w:pStyle w:val="ConsPlusNormal"/>
        <w:tabs>
          <w:tab w:val="left" w:pos="993"/>
        </w:tabs>
        <w:ind w:firstLine="709"/>
        <w:jc w:val="both"/>
        <w:rPr>
          <w:rFonts w:ascii="Times New Roman" w:eastAsia="Times New Roman" w:hAnsi="Times New Roman" w:cs="Times New Roman"/>
          <w:sz w:val="28"/>
          <w:szCs w:val="28"/>
          <w:lang w:val="ru-RU"/>
        </w:rPr>
      </w:pPr>
      <w:r w:rsidRPr="003E0809">
        <w:rPr>
          <w:rFonts w:ascii="Times New Roman" w:eastAsia="Times New Roman" w:hAnsi="Times New Roman" w:cs="Times New Roman"/>
          <w:sz w:val="28"/>
          <w:szCs w:val="28"/>
          <w:lang w:val="ru-RU"/>
        </w:rPr>
        <w:t>Прогноз поступления налога на доходы физических лиц в консолидированный бюджет Оренбургской области в планируемом году используется за исключением налога на доходы физических лиц в отношении доходов, указанных в абзацах тридцать пятом, тридцать шестом, тридцать девятом, пятьдесят седьмом статьи 50 и в абзаце пятом пункта 2 статьи 56 Бюджетного кодекса Российской Федерации, а также за исключением налога на доходы физических лиц с доходов, в отношении которых исчисление и уплата налога осуществляются в соответствии со статьями 227, 227.2,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и налога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а также налога на доходы физических лиц в отношении доходов, указанных в статье 309.1 Налогового кодекса Российской Федерации.</w:t>
      </w:r>
    </w:p>
    <w:p w:rsidR="00284986" w:rsidRPr="003E0809" w:rsidRDefault="00284986">
      <w:pPr>
        <w:pStyle w:val="ConsPlusNormal"/>
        <w:tabs>
          <w:tab w:val="left" w:pos="993"/>
        </w:tabs>
        <w:ind w:firstLine="709"/>
        <w:jc w:val="both"/>
        <w:rPr>
          <w:rFonts w:ascii="Times New Roman" w:hAnsi="Times New Roman" w:cs="Times New Roman"/>
          <w:sz w:val="28"/>
          <w:szCs w:val="28"/>
          <w:lang w:val="ru-RU"/>
        </w:rPr>
      </w:pPr>
    </w:p>
    <w:p w:rsidR="00284986" w:rsidRPr="003E0809" w:rsidRDefault="003E0809">
      <w:pPr>
        <w:pStyle w:val="ConsPlusNormal"/>
        <w:tabs>
          <w:tab w:val="left" w:pos="993"/>
        </w:tabs>
        <w:ind w:firstLine="709"/>
        <w:jc w:val="both"/>
        <w:rPr>
          <w:rFonts w:ascii="Times New Roman" w:eastAsia="Times New Roman" w:hAnsi="Times New Roman" w:cs="Times New Roman"/>
          <w:sz w:val="28"/>
          <w:szCs w:val="28"/>
          <w:lang w:val="ru-RU"/>
        </w:rPr>
      </w:pPr>
      <w:r w:rsidRPr="003E0809">
        <w:rPr>
          <w:rFonts w:ascii="Times New Roman" w:eastAsia="Times New Roman" w:hAnsi="Times New Roman" w:cs="Times New Roman"/>
          <w:sz w:val="28"/>
          <w:szCs w:val="28"/>
          <w:lang w:val="ru-RU"/>
        </w:rPr>
        <w:t>В отношении налога на доходы физических лиц в соответствии с абзацами двадцать восьмым – тридцать первым части 2 статьи 61.1, абзацами восьмым - одиннадцатым части 2 статьи 61.2 и абзацами восьмым - одиннадцатым части 2 статьи 61.6 Бюджетного кодекса Российской Федерации прогноз поступлений в консолидированный бюджет Оренбургской области и суммарный показатель, характеризующий базу для расчета налогового потенциала, используется раздельно:</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по муниципальным округам, городским округам;</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по муниципальным районам.</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В целях обеспечения равенства бюджетных прав муниципальных образований при расчете налогового потенциала по налогу на доходы физических лиц, указанному в абзаце четвертом пункта 2 статьи 56 Бюджетного кодекса Российской Федерации, норматив отчислений в бюджеты муниципальных округов, городских округов принимается равным нормативу отчислений в бюджеты муниципальных районов.</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lastRenderedPageBreak/>
        <w:t>Прогноз поступления налогов, входящих в репрезентативную систему налогов для расчета налогового потенциала муниципальных округов, городских округов, муниципальных районов, в консолидированный бюджет Оренбургской области рассчитывается в соответствии с методикой, утверждаемой в составе методики формирования областного бюджета на очередной финансовый год и на плановый период.</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Налоговый потенциал в целом по муниципальному округу, городскому округу, муниципальному району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НП</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w:t>
      </w:r>
      <w:r>
        <w:rPr>
          <w:rFonts w:ascii="Times New Roman" w:eastAsia="Times New Roman" w:hAnsi="Times New Roman" w:cs="Times New Roman"/>
          <w:sz w:val="28"/>
          <w:szCs w:val="28"/>
        </w:rPr>
        <w:t>SUM</w:t>
      </w:r>
      <w:r w:rsidRPr="003E0809">
        <w:rPr>
          <w:rFonts w:ascii="Times New Roman" w:eastAsia="Times New Roman" w:hAnsi="Times New Roman" w:cs="Times New Roman"/>
          <w:sz w:val="28"/>
          <w:szCs w:val="28"/>
          <w:lang w:val="ru-RU"/>
        </w:rPr>
        <w:t xml:space="preserve"> НП</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НП</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налоговый потенциал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SUM</w:t>
      </w:r>
      <w:r w:rsidRPr="003E0809">
        <w:rPr>
          <w:rFonts w:ascii="Times New Roman" w:eastAsia="Times New Roman" w:hAnsi="Times New Roman" w:cs="Times New Roman"/>
          <w:sz w:val="28"/>
          <w:szCs w:val="28"/>
          <w:lang w:val="ru-RU"/>
        </w:rPr>
        <w:t xml:space="preserve"> - знак суммирования;</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НП</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налоговый потенциал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по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-му налогу.</w:t>
      </w:r>
    </w:p>
    <w:p w:rsidR="00284986" w:rsidRPr="003E0809" w:rsidRDefault="003E0809">
      <w:pPr>
        <w:pStyle w:val="ConsPlusNormal"/>
        <w:spacing w:before="240"/>
        <w:ind w:firstLine="540"/>
        <w:jc w:val="both"/>
        <w:rPr>
          <w:rFonts w:ascii="Times New Roman" w:hAnsi="Times New Roman" w:cs="Times New Roman"/>
          <w:strike/>
          <w:lang w:val="ru-RU"/>
        </w:rPr>
      </w:pPr>
      <w:r w:rsidRPr="003E0809">
        <w:rPr>
          <w:rFonts w:ascii="Times New Roman" w:eastAsia="Times New Roman" w:hAnsi="Times New Roman" w:cs="Times New Roman"/>
          <w:sz w:val="28"/>
          <w:szCs w:val="28"/>
          <w:lang w:val="ru-RU"/>
        </w:rPr>
        <w:t>При расчете налогового  потенциала муниципального округа, городского округа, муниципального  района учитываются недополученные доходы по проводимым мероприятиям,  связанным с вовлечением в оборот неиспользуемых земель сельскохозяйственного назначения (на основании сведений министерства сельского хозяйства, торговли, пищевой и перерабатывающей промышленности Оренбургской области), а также мероприятиям по выявлению правообладателей ранее учтенных объектов недвижимости и направлению сведений о них для внесения в Единый государственный реестр недвижимости (на основании сведений Управления Федеральной службы государственной регистрации, кадастра и картографии по Оренбургской области).</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Рассчитанные оценки налогового потенциала не являются планируемыми или рекомендуемыми показателями доходов бюджетов муниципальных округов, городских округов, муниципальных районов и используются только для расчета индекса налогового потенциала и сопоставления бюджетной обеспеченности муниципальных округов, городских округов, муниципальных районов в целях межбюджетного регулирования.</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 xml:space="preserve">Для оценки относительных различий в расходных обязательствах муниципальных районов, городских округов, муниципальных округов (расчета индекса бюджетных расходов) используется репрезентативная система расходных обязательств, которая включает в себя основные виды расходных обязательств, связанных с решением вопросов местного значения муниципальных округов, городских округов, муниципальных районов. Оценка относительных различий в расходных обязательствах муниципальных округов, городских округов, муниципальных районов производится исходя из </w:t>
      </w:r>
      <w:r w:rsidRPr="003E0809">
        <w:rPr>
          <w:rFonts w:ascii="Times New Roman" w:eastAsia="Times New Roman" w:hAnsi="Times New Roman" w:cs="Times New Roman"/>
          <w:sz w:val="28"/>
          <w:szCs w:val="28"/>
          <w:lang w:val="ru-RU"/>
        </w:rPr>
        <w:lastRenderedPageBreak/>
        <w:t>численности потребителей муниципальных услуг, базовых коэффициентов удорожания стоимости предоставления муниципальных услуг, отражающих факторы, влияющие на стоимость предоставляемых муниципальных услуг по отдельному виду расходных обязательств репрезентативной системы расходных обязательств в расчете на одного потребителя муниципальных услуг в отдельном муниципальном округе, городском округе, муниципальном районе, и доли вида расходных обязательств в составе репрезентативной системы расходных обязательств.</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Перечень вопросов местного значения муниципальных округов, городских округов, муниципальных районов, определяющих структуру репрезентативной системы расходных обязательств, перечень показателей, определяющих потребителей муниципальных услуг, источник информации о количестве потребителей муниципальных услуг, применяемые базовые коэффициенты удорожания стоимости предоставления муниципальных услуг, доли вида расходных обязательств в составе репрезентативной системы расходных обязательств приведены в .</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right"/>
        <w:outlineLvl w:val="1"/>
        <w:rPr>
          <w:rFonts w:ascii="Times New Roman" w:hAnsi="Times New Roman" w:cs="Times New Roman"/>
          <w:lang w:val="ru-RU"/>
        </w:rPr>
      </w:pPr>
      <w:r w:rsidRPr="003E0809">
        <w:rPr>
          <w:rFonts w:ascii="Times New Roman" w:eastAsia="Times New Roman" w:hAnsi="Times New Roman" w:cs="Times New Roman"/>
          <w:sz w:val="28"/>
          <w:szCs w:val="28"/>
          <w:lang w:val="ru-RU"/>
        </w:rPr>
        <w:t>Таблица 2</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Title"/>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Состав</w:t>
      </w:r>
    </w:p>
    <w:p w:rsidR="00284986" w:rsidRPr="003E0809" w:rsidRDefault="003E0809">
      <w:pPr>
        <w:pStyle w:val="ConsPlusTitle"/>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репрезентативной системы расходных обязательств для расчета</w:t>
      </w:r>
    </w:p>
    <w:p w:rsidR="00284986" w:rsidRPr="003E0809" w:rsidRDefault="003E0809">
      <w:pPr>
        <w:pStyle w:val="ConsPlusTitle"/>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индекса бюджетных расходов муниципальных округов,</w:t>
      </w:r>
    </w:p>
    <w:p w:rsidR="00284986" w:rsidRDefault="003E0809">
      <w:pPr>
        <w:pStyle w:val="ConsPlusTitle"/>
        <w:jc w:val="center"/>
        <w:rPr>
          <w:rFonts w:ascii="Times New Roman" w:hAnsi="Times New Roman" w:cs="Times New Roman"/>
        </w:rPr>
        <w:sectPr w:rsidR="00284986">
          <w:pgSz w:w="11906" w:h="16838"/>
          <w:pgMar w:top="1134" w:right="850" w:bottom="1134" w:left="1701" w:header="709" w:footer="709" w:gutter="0"/>
          <w:cols w:space="720"/>
          <w:docGrid w:linePitch="360"/>
        </w:sectPr>
      </w:pPr>
      <w:r>
        <w:rPr>
          <w:rFonts w:ascii="Times New Roman" w:eastAsia="Times New Roman" w:hAnsi="Times New Roman" w:cs="Times New Roman"/>
          <w:sz w:val="28"/>
          <w:szCs w:val="28"/>
        </w:rPr>
        <w:t>городских округов, муниципальных районов</w:t>
      </w:r>
    </w:p>
    <w:p w:rsidR="00284986" w:rsidRDefault="00284986">
      <w:pPr>
        <w:pStyle w:val="ConsPlusNormal"/>
        <w:jc w:val="both"/>
        <w:rPr>
          <w:rFonts w:ascii="Times New Roman" w:hAnsi="Times New Roman" w:cs="Times New Roman"/>
        </w:rPr>
      </w:pPr>
    </w:p>
    <w:tbl>
      <w:tblPr>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top w:w="102" w:type="dxa"/>
          <w:left w:w="62" w:type="dxa"/>
          <w:bottom w:w="102" w:type="dxa"/>
          <w:right w:w="62" w:type="dxa"/>
        </w:tblCellMar>
        <w:tblLook w:val="04A0" w:firstRow="1" w:lastRow="0" w:firstColumn="1" w:lastColumn="0" w:noHBand="0" w:noVBand="1"/>
      </w:tblPr>
      <w:tblGrid>
        <w:gridCol w:w="3299"/>
        <w:gridCol w:w="3202"/>
        <w:gridCol w:w="3321"/>
        <w:gridCol w:w="3061"/>
        <w:gridCol w:w="1896"/>
      </w:tblGrid>
      <w:tr w:rsidR="00284986">
        <w:tc>
          <w:tcPr>
            <w:tcW w:w="3299"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Вопросы местного значения</w:t>
            </w:r>
          </w:p>
        </w:tc>
        <w:tc>
          <w:tcPr>
            <w:tcW w:w="3202"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0"/>
                <w:lang w:val="ru-RU"/>
              </w:rPr>
              <w:t>Показатель, определяющий потребителей бюджетных услуг</w:t>
            </w:r>
          </w:p>
        </w:tc>
        <w:tc>
          <w:tcPr>
            <w:tcW w:w="3321"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Источник информации</w:t>
            </w:r>
          </w:p>
        </w:tc>
        <w:tc>
          <w:tcPr>
            <w:tcW w:w="306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0"/>
                <w:lang w:val="ru-RU"/>
              </w:rPr>
              <w:t>Применяемый базовый коэффициент удорожания стоимости бюджетных услуг</w:t>
            </w:r>
          </w:p>
        </w:tc>
        <w:tc>
          <w:tcPr>
            <w:tcW w:w="1896"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0"/>
                <w:lang w:val="ru-RU"/>
              </w:rPr>
              <w:t>Доля вида расходов в репрезентативной системе, процентов</w:t>
            </w:r>
          </w:p>
        </w:tc>
      </w:tr>
      <w:tr w:rsidR="00284986">
        <w:tc>
          <w:tcPr>
            <w:tcW w:w="3299"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1</w:t>
            </w:r>
          </w:p>
        </w:tc>
        <w:tc>
          <w:tcPr>
            <w:tcW w:w="3202"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2</w:t>
            </w:r>
          </w:p>
        </w:tc>
        <w:tc>
          <w:tcPr>
            <w:tcW w:w="3321"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3</w:t>
            </w:r>
          </w:p>
        </w:tc>
        <w:tc>
          <w:tcPr>
            <w:tcW w:w="3061"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4</w:t>
            </w:r>
          </w:p>
        </w:tc>
        <w:tc>
          <w:tcPr>
            <w:tcW w:w="1896"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5</w:t>
            </w:r>
          </w:p>
        </w:tc>
      </w:tr>
      <w:tr w:rsidR="00284986">
        <w:tc>
          <w:tcPr>
            <w:tcW w:w="3299"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1. Вопросы местного значения в сфере образования</w:t>
            </w:r>
          </w:p>
        </w:tc>
        <w:tc>
          <w:tcPr>
            <w:tcW w:w="3202"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 xml:space="preserve">численность детей в возрасте от 0 до 17 лет </w:t>
            </w:r>
          </w:p>
        </w:tc>
        <w:tc>
          <w:tcPr>
            <w:tcW w:w="332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территориальный орган Федеральной службы государственной статистики по Оренбургской области</w:t>
            </w:r>
          </w:p>
        </w:tc>
        <w:tc>
          <w:tcPr>
            <w:tcW w:w="306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Кску - коэффициент стоимости коммунальных услуг для муниципальных учреждений</w:t>
            </w:r>
          </w:p>
        </w:tc>
        <w:tc>
          <w:tcPr>
            <w:tcW w:w="1896"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55,2</w:t>
            </w:r>
          </w:p>
        </w:tc>
      </w:tr>
      <w:tr w:rsidR="00284986">
        <w:tc>
          <w:tcPr>
            <w:tcW w:w="3299"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2. Вопросы местного значения в области использования автомобильных дорог и осуществления дорожной деятельности</w:t>
            </w:r>
          </w:p>
        </w:tc>
        <w:tc>
          <w:tcPr>
            <w:tcW w:w="3202"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численность постоянного населения муниципальных округов, городских округов и муниципальных районов</w:t>
            </w:r>
          </w:p>
        </w:tc>
        <w:tc>
          <w:tcPr>
            <w:tcW w:w="332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территориальный орган Федеральной службы государственной статистики по Оренбургской области</w:t>
            </w:r>
          </w:p>
        </w:tc>
        <w:tc>
          <w:tcPr>
            <w:tcW w:w="306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Кпад - коэффициент плотности автомобильных дорог</w:t>
            </w:r>
          </w:p>
        </w:tc>
        <w:tc>
          <w:tcPr>
            <w:tcW w:w="1896"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8,1</w:t>
            </w:r>
          </w:p>
        </w:tc>
      </w:tr>
      <w:tr w:rsidR="00284986">
        <w:tc>
          <w:tcPr>
            <w:tcW w:w="3299"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3. Вопросы местного значения в области градостроительной деятельности и управления имуществом, находящимся в муниципальной собственности</w:t>
            </w:r>
          </w:p>
        </w:tc>
        <w:tc>
          <w:tcPr>
            <w:tcW w:w="3202"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численность постоянного населения муниципальных округов, городских округов и муниципальных районов</w:t>
            </w:r>
          </w:p>
        </w:tc>
        <w:tc>
          <w:tcPr>
            <w:tcW w:w="332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территориальный орган Федеральной службы государственной статистики по Оренбургской области</w:t>
            </w:r>
          </w:p>
        </w:tc>
        <w:tc>
          <w:tcPr>
            <w:tcW w:w="306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Кзик - коэффициент обеспеченности учета и управления земельно-имущественным комплексом</w:t>
            </w:r>
          </w:p>
        </w:tc>
        <w:tc>
          <w:tcPr>
            <w:tcW w:w="1896"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1,0</w:t>
            </w:r>
          </w:p>
        </w:tc>
      </w:tr>
      <w:tr w:rsidR="00284986">
        <w:tc>
          <w:tcPr>
            <w:tcW w:w="3299"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4. Решение других вопросов местного значения общемуниципального развития и управления</w:t>
            </w:r>
          </w:p>
        </w:tc>
        <w:tc>
          <w:tcPr>
            <w:tcW w:w="3202"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численность постоянного населения муниципальных округов, городских округов и муниципальных районов</w:t>
            </w:r>
          </w:p>
        </w:tc>
        <w:tc>
          <w:tcPr>
            <w:tcW w:w="332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территориальный орган Федеральной службы государственной статистики по Оренбургской области</w:t>
            </w:r>
          </w:p>
        </w:tc>
        <w:tc>
          <w:tcPr>
            <w:tcW w:w="3061" w:type="dxa"/>
            <w:tcBorders>
              <w:top w:val="single" w:sz="4" w:space="0" w:color="000000"/>
              <w:left w:val="single" w:sz="4" w:space="0" w:color="000000"/>
              <w:bottom w:val="single" w:sz="4" w:space="0" w:color="000000"/>
              <w:right w:val="single" w:sz="4" w:space="0" w:color="000000"/>
            </w:tcBorders>
          </w:tcPr>
          <w:p w:rsidR="00284986" w:rsidRPr="003E0809" w:rsidRDefault="003E0809">
            <w:pPr>
              <w:pStyle w:val="ConsPlusNormal"/>
              <w:rPr>
                <w:rFonts w:ascii="Times New Roman" w:hAnsi="Times New Roman" w:cs="Times New Roman"/>
                <w:lang w:val="ru-RU"/>
              </w:rPr>
            </w:pPr>
            <w:r w:rsidRPr="003E0809">
              <w:rPr>
                <w:rFonts w:ascii="Times New Roman" w:eastAsia="Times New Roman" w:hAnsi="Times New Roman" w:cs="Times New Roman"/>
                <w:sz w:val="20"/>
                <w:lang w:val="ru-RU"/>
              </w:rPr>
              <w:t>Кру - коэффициент расходов на общемуниципальное развитие и управление</w:t>
            </w:r>
          </w:p>
        </w:tc>
        <w:tc>
          <w:tcPr>
            <w:tcW w:w="1896" w:type="dxa"/>
            <w:tcBorders>
              <w:top w:val="single" w:sz="4" w:space="0" w:color="000000"/>
              <w:left w:val="single" w:sz="4" w:space="0" w:color="000000"/>
              <w:bottom w:val="single" w:sz="4" w:space="0" w:color="000000"/>
              <w:right w:val="single" w:sz="4" w:space="0" w:color="000000"/>
            </w:tcBorders>
          </w:tcPr>
          <w:p w:rsidR="00284986" w:rsidRDefault="003E0809">
            <w:pPr>
              <w:pStyle w:val="ConsPlusNormal"/>
              <w:jc w:val="center"/>
              <w:rPr>
                <w:rFonts w:ascii="Times New Roman" w:hAnsi="Times New Roman" w:cs="Times New Roman"/>
              </w:rPr>
            </w:pPr>
            <w:r>
              <w:rPr>
                <w:rFonts w:ascii="Times New Roman" w:eastAsia="Times New Roman" w:hAnsi="Times New Roman" w:cs="Times New Roman"/>
                <w:sz w:val="20"/>
              </w:rPr>
              <w:t>35,7</w:t>
            </w:r>
          </w:p>
        </w:tc>
      </w:tr>
    </w:tbl>
    <w:p w:rsidR="00284986" w:rsidRDefault="00284986">
      <w:pPr>
        <w:pStyle w:val="ConsPlusNormal"/>
        <w:jc w:val="both"/>
        <w:rPr>
          <w:rFonts w:ascii="Times New Roman" w:hAnsi="Times New Roman" w:cs="Times New Roman"/>
        </w:rPr>
      </w:pPr>
    </w:p>
    <w:p w:rsidR="00284986" w:rsidRDefault="00284986">
      <w:pPr>
        <w:rPr>
          <w:rFonts w:ascii="Times New Roman" w:hAnsi="Times New Roman" w:cs="Times New Roman"/>
          <w:sz w:val="28"/>
          <w:szCs w:val="28"/>
        </w:rPr>
        <w:sectPr w:rsidR="00284986">
          <w:pgSz w:w="16838" w:h="11906" w:orient="landscape"/>
          <w:pgMar w:top="1133" w:right="1440" w:bottom="566" w:left="1440" w:header="709" w:footer="709" w:gutter="0"/>
          <w:cols w:space="720"/>
          <w:docGrid w:linePitch="360"/>
        </w:sectPr>
      </w:pPr>
    </w:p>
    <w:p w:rsidR="00284986" w:rsidRDefault="00284986">
      <w:pPr>
        <w:pStyle w:val="ConsPlusNormal"/>
        <w:rPr>
          <w:rFonts w:ascii="Times New Roman" w:hAnsi="Times New Roman" w:cs="Times New Roman"/>
        </w:rPr>
      </w:pPr>
    </w:p>
    <w:p w:rsidR="00284986" w:rsidRDefault="00284986">
      <w:pPr>
        <w:pStyle w:val="ConsPlusNormal"/>
        <w:jc w:val="both"/>
        <w:rPr>
          <w:rFonts w:ascii="Times New Roman" w:hAnsi="Times New Roman" w:cs="Times New Roman"/>
        </w:rPr>
      </w:pPr>
    </w:p>
    <w:p w:rsidR="00284986" w:rsidRDefault="003E0809">
      <w:pPr>
        <w:pStyle w:val="ConsPlusNormal"/>
        <w:ind w:firstLine="540"/>
        <w:jc w:val="both"/>
        <w:rPr>
          <w:rFonts w:ascii="Times New Roman" w:hAnsi="Times New Roman" w:cs="Times New Roman"/>
        </w:rPr>
      </w:pPr>
      <w:r>
        <w:rPr>
          <w:rFonts w:ascii="Times New Roman" w:eastAsia="Times New Roman" w:hAnsi="Times New Roman" w:cs="Times New Roman"/>
          <w:sz w:val="28"/>
          <w:szCs w:val="28"/>
        </w:rPr>
        <w:t>--------------------------------</w:t>
      </w:r>
    </w:p>
    <w:p w:rsidR="00284986" w:rsidRPr="003E0809" w:rsidRDefault="003E0809">
      <w:pPr>
        <w:pStyle w:val="ConsPlusNormal"/>
        <w:spacing w:before="240"/>
        <w:ind w:firstLine="540"/>
        <w:jc w:val="both"/>
        <w:rPr>
          <w:rFonts w:ascii="Times New Roman" w:hAnsi="Times New Roman" w:cs="Times New Roman"/>
          <w:lang w:val="ru-RU"/>
        </w:rPr>
      </w:pPr>
      <w:bookmarkStart w:id="1" w:name="undefined"/>
      <w:bookmarkEnd w:id="1"/>
      <w:r w:rsidRPr="003E0809">
        <w:rPr>
          <w:rFonts w:ascii="Times New Roman" w:eastAsia="Times New Roman" w:hAnsi="Times New Roman" w:cs="Times New Roman"/>
          <w:sz w:val="28"/>
          <w:szCs w:val="28"/>
          <w:lang w:val="ru-RU"/>
        </w:rPr>
        <w:t xml:space="preserve">&lt;*&gt; Численность детей в возрасте от 0 до 17 лет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определяется как среднегодовая численность детей в возрасте от 0 до 17 лет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за последние 5 отчетных лет по данным Территориального органа Федеральной службы государственной статистики по Оренбургской области, но не менее численности детей в возрасте от 0 до 17 лет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 на 1 января текущего финансового года.</w:t>
      </w:r>
    </w:p>
    <w:p w:rsidR="00284986" w:rsidRDefault="003E0809">
      <w:pPr>
        <w:pStyle w:val="af9"/>
        <w:ind w:firstLine="709"/>
        <w:jc w:val="both"/>
        <w:rPr>
          <w:rFonts w:ascii="Times New Roman" w:hAnsi="Times New Roman" w:cs="Times New Roman"/>
          <w:sz w:val="24"/>
        </w:rPr>
      </w:pPr>
      <w:r>
        <w:rPr>
          <w:rFonts w:ascii="Times New Roman" w:eastAsia="Times New Roman" w:hAnsi="Times New Roman" w:cs="Times New Roman"/>
          <w:sz w:val="28"/>
          <w:szCs w:val="28"/>
        </w:rPr>
        <w:t>В случае отсутствия данных в Территориальном органе Федеральной службы государственной статистики по Оренбургской области на 1 января текущего финансового года в расчете учитывается численность детей в возрасте от 0 до 17 лет j-го муниципального округа, городского округа, муниципального района по состоянию на 1 января года предшествующего текущему финансовому году.</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Индекс бюджетных расходов муниципального округа, городского округа, муниципального района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Default="003E0809">
      <w:pPr>
        <w:pStyle w:val="ConsPlusNormal"/>
        <w:jc w:val="center"/>
        <w:rPr>
          <w:rFonts w:ascii="Times New Roman" w:hAnsi="Times New Roman" w:cs="Times New Roman"/>
        </w:rPr>
      </w:pPr>
      <w:r>
        <w:rPr>
          <w:rFonts w:ascii="Times New Roman" w:eastAsia="Times New Roman" w:hAnsi="Times New Roman" w:cs="Times New Roman"/>
          <w:noProof/>
          <w:sz w:val="28"/>
          <w:szCs w:val="28"/>
          <w:lang w:val="ru-RU" w:eastAsia="ru-RU"/>
        </w:rPr>
        <mc:AlternateContent>
          <mc:Choice Requires="wpg">
            <w:drawing>
              <wp:inline distT="0" distB="0" distL="0" distR="0">
                <wp:extent cx="2173605" cy="398780"/>
                <wp:effectExtent l="0" t="0" r="0" b="0"/>
                <wp:docPr id="1" name="_x0000_s2"/>
                <wp:cNvGraphicFramePr/>
                <a:graphic xmlns:a="http://schemas.openxmlformats.org/drawingml/2006/main">
                  <a:graphicData uri="http://schemas.openxmlformats.org/drawingml/2006/picture">
                    <pic:pic xmlns:pic="http://schemas.openxmlformats.org/drawingml/2006/picture">
                      <pic:nvPicPr>
                        <pic:cNvPr id="1415415996" name=""/>
                        <pic:cNvPicPr/>
                      </pic:nvPicPr>
                      <pic:blipFill>
                        <a:blip r:embed="rId6">
                          <a:extLst>
                            <a:ext uri="{96DAC541-7B7A-43D3-8B79-37D633B846F1}">
                              <asvg:svgBlip xmlns="" xmlns:o="urn:schemas-microsoft-com:office:office" xmlns:v="urn:schemas-microsoft-com:vml" xmlns:w10="urn:schemas-microsoft-com:office:word" xmlns:w="http://schemas.openxmlformats.org/wordprocessingml/2006/main" xmlns:asvg="http://schemas.microsoft.com/office/drawing/2016/SVG/main" r:embed="rId9"/>
                            </a:ext>
                          </a:extLst>
                        </a:blip>
                        <a:stretch/>
                      </pic:blipFill>
                      <pic:spPr bwMode="auto">
                        <a:xfrm>
                          <a:off x="0" y="0"/>
                          <a:ext cx="2173604" cy="398779"/>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1.15pt;height:31.40pt;mso-wrap-distance-left:0.00pt;mso-wrap-distance-top:0.00pt;mso-wrap-distance-right:0.00pt;mso-wrap-distance-bottom:0.00pt;" stroked="f">
                <v:path textboxrect="0,0,0,0"/>
                <v:imagedata r:id="rId8" o:title=""/>
              </v:shape>
            </w:pict>
          </mc:Fallback>
        </mc:AlternateContent>
      </w:r>
    </w:p>
    <w:p w:rsidR="00284986" w:rsidRDefault="00284986">
      <w:pPr>
        <w:pStyle w:val="ConsPlusNormal"/>
        <w:jc w:val="both"/>
        <w:rPr>
          <w:rFonts w:ascii="Times New Roman" w:hAnsi="Times New Roman" w:cs="Times New Roman"/>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ИБР</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индекс бюджетных расходов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SUM</w:t>
      </w:r>
      <w:r w:rsidRPr="003E0809">
        <w:rPr>
          <w:rFonts w:ascii="Times New Roman" w:eastAsia="Times New Roman" w:hAnsi="Times New Roman" w:cs="Times New Roman"/>
          <w:sz w:val="28"/>
          <w:szCs w:val="28"/>
          <w:lang w:val="ru-RU"/>
        </w:rPr>
        <w:t xml:space="preserve"> - знак суммирования;</w:t>
      </w:r>
    </w:p>
    <w:p w:rsidR="00284986" w:rsidRPr="003E0809"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n</w:t>
      </w:r>
      <w:r w:rsidRPr="003E0809">
        <w:rPr>
          <w:rFonts w:ascii="Times New Roman" w:eastAsia="Times New Roman" w:hAnsi="Times New Roman" w:cs="Times New Roman"/>
          <w:sz w:val="28"/>
          <w:szCs w:val="28"/>
          <w:lang w:val="ru-RU"/>
        </w:rPr>
        <w:t xml:space="preserve"> - количество видов расходных обязательств, входящих в состав репрезентативной системы расходных обязательств;</w:t>
      </w:r>
    </w:p>
    <w:p w:rsidR="00284986" w:rsidRPr="003E0809"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ai</w:t>
      </w:r>
      <w:r w:rsidRPr="003E0809">
        <w:rPr>
          <w:rFonts w:ascii="Times New Roman" w:eastAsia="Times New Roman" w:hAnsi="Times New Roman" w:cs="Times New Roman"/>
          <w:sz w:val="28"/>
          <w:szCs w:val="28"/>
          <w:lang w:val="ru-RU"/>
        </w:rPr>
        <w:t xml:space="preserve"> - доля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-го вида расходных обязательств в составе репрезентативной системы расходных обязательств согласно ;</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ИБР</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индекс бюджетных расходов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по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-му виду расходных обязательств, входящему в состав репрезентативной системы расходных обязательств.</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Индекс бюджетных расходов муниципального округа, городского округа, муниципального района по отдельному виду расходных обязательств, входящему в состав репрезентативной системы расходов,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lastRenderedPageBreak/>
        <w:t>ИБР</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(П</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3E0809">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Kji</w:t>
      </w:r>
      <w:r w:rsidRPr="003E0809">
        <w:rPr>
          <w:rFonts w:ascii="Times New Roman" w:eastAsia="Times New Roman" w:hAnsi="Times New Roman" w:cs="Times New Roman"/>
          <w:sz w:val="28"/>
          <w:szCs w:val="28"/>
          <w:lang w:val="ru-RU"/>
        </w:rPr>
        <w:t xml:space="preserve"> / 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 (</w:t>
      </w:r>
      <w:r>
        <w:rPr>
          <w:rFonts w:ascii="Times New Roman" w:eastAsia="Times New Roman" w:hAnsi="Times New Roman" w:cs="Times New Roman"/>
          <w:sz w:val="28"/>
          <w:szCs w:val="28"/>
        </w:rPr>
        <w:t>SUM</w:t>
      </w:r>
      <w:r w:rsidRPr="003E0809">
        <w:rPr>
          <w:rFonts w:ascii="Times New Roman" w:eastAsia="Times New Roman" w:hAnsi="Times New Roman" w:cs="Times New Roman"/>
          <w:sz w:val="28"/>
          <w:szCs w:val="28"/>
          <w:lang w:val="ru-RU"/>
        </w:rPr>
        <w:t xml:space="preserve"> (П</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3E0809">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Kji</w:t>
      </w:r>
      <w:r w:rsidRPr="003E0809">
        <w:rPr>
          <w:rFonts w:ascii="Times New Roman" w:eastAsia="Times New Roman" w:hAnsi="Times New Roman" w:cs="Times New Roman"/>
          <w:sz w:val="28"/>
          <w:szCs w:val="28"/>
          <w:lang w:val="ru-RU"/>
        </w:rPr>
        <w:t>) / Н),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ИБР</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индекс бюджетных расходов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по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-му виду расходных обязательств, входящему в состав репрезентативной системы расходных обязательств;</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w:t>
      </w:r>
      <w:r>
        <w:rPr>
          <w:rFonts w:ascii="Times New Roman" w:eastAsia="Times New Roman" w:hAnsi="Times New Roman" w:cs="Times New Roman"/>
          <w:sz w:val="28"/>
          <w:szCs w:val="28"/>
        </w:rPr>
        <w:t>ji</w:t>
      </w:r>
      <w:r w:rsidRPr="003E0809">
        <w:rPr>
          <w:rFonts w:ascii="Times New Roman" w:eastAsia="Times New Roman" w:hAnsi="Times New Roman" w:cs="Times New Roman"/>
          <w:sz w:val="28"/>
          <w:szCs w:val="28"/>
          <w:lang w:val="ru-RU"/>
        </w:rPr>
        <w:t xml:space="preserve"> - показатель, определяющий потребителей муниципальных услуг и подлежащий ежегодной корректировке,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-го муниципального округа, городского округа, муниципального района по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-му виду расходных обязательств, входящему в состав репрезентативной системы расходных обязательств, согласно ;</w:t>
      </w:r>
    </w:p>
    <w:p w:rsidR="00284986" w:rsidRPr="003E0809"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Kji</w:t>
      </w:r>
      <w:r w:rsidRPr="003E0809">
        <w:rPr>
          <w:rFonts w:ascii="Times New Roman" w:eastAsia="Times New Roman" w:hAnsi="Times New Roman" w:cs="Times New Roman"/>
          <w:sz w:val="28"/>
          <w:szCs w:val="28"/>
          <w:lang w:val="ru-RU"/>
        </w:rPr>
        <w:t xml:space="preserve"> - коэффициент удорожания стоимости предоставления муниципальных услуг , отражающий факторы, влияющие на стоимость предоставляемых муниципальных услуг по </w:t>
      </w:r>
      <w:r>
        <w:rPr>
          <w:rFonts w:ascii="Times New Roman" w:eastAsia="Times New Roman" w:hAnsi="Times New Roman" w:cs="Times New Roman"/>
          <w:sz w:val="28"/>
          <w:szCs w:val="28"/>
        </w:rPr>
        <w:t>i</w:t>
      </w:r>
      <w:r w:rsidRPr="003E0809">
        <w:rPr>
          <w:rFonts w:ascii="Times New Roman" w:eastAsia="Times New Roman" w:hAnsi="Times New Roman" w:cs="Times New Roman"/>
          <w:sz w:val="28"/>
          <w:szCs w:val="28"/>
          <w:lang w:val="ru-RU"/>
        </w:rPr>
        <w:t xml:space="preserve">-му виду расходных обязательств, входящему в состав репрезентативной системы расходных обязательств в расчете на одного потребителя муниципальных услуг 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 муниципальном округе, городском округе, муниципальном районе;</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численность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SUM</w:t>
      </w:r>
      <w:r w:rsidRPr="003E0809">
        <w:rPr>
          <w:rFonts w:ascii="Times New Roman" w:eastAsia="Times New Roman" w:hAnsi="Times New Roman" w:cs="Times New Roman"/>
          <w:sz w:val="28"/>
          <w:szCs w:val="28"/>
          <w:lang w:val="ru-RU"/>
        </w:rPr>
        <w:t xml:space="preserve"> - знак суммирования;</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 - численность постоянного населения Оренбургской области.</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В расчете индекса бюджетных расходов применяются следующие базовые коэффициенты удорожания стоимости предоставления муниципальных услуг:</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1) коэффициент расходов на общемуниципальное развитие и управление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tabs>
          <w:tab w:val="left" w:pos="993"/>
        </w:tabs>
        <w:jc w:val="center"/>
        <w:rPr>
          <w:rFonts w:ascii="Times New Roman" w:hAnsi="Times New Roman" w:cs="Times New Roman"/>
          <w:sz w:val="28"/>
          <w:lang w:val="ru-RU"/>
        </w:rPr>
      </w:pPr>
      <w:r w:rsidRPr="003E0809">
        <w:rPr>
          <w:rFonts w:ascii="Times New Roman" w:eastAsia="Times New Roman" w:hAnsi="Times New Roman" w:cs="Times New Roman"/>
          <w:sz w:val="28"/>
          <w:szCs w:val="28"/>
          <w:lang w:val="ru-RU"/>
        </w:rPr>
        <w:t>«Кру</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0,4733 + 0,556 </w:t>
      </w:r>
      <w:r>
        <w:rPr>
          <w:rFonts w:ascii="Times New Roman" w:eastAsia="Times New Roman" w:hAnsi="Times New Roman" w:cs="Times New Roman"/>
          <w:sz w:val="28"/>
          <w:szCs w:val="28"/>
        </w:rPr>
        <w:t>x</w:t>
      </w:r>
      <w:r w:rsidRPr="003E0809">
        <w:rPr>
          <w:rFonts w:ascii="Times New Roman" w:eastAsia="Times New Roman" w:hAnsi="Times New Roman" w:cs="Times New Roman"/>
          <w:sz w:val="28"/>
          <w:szCs w:val="28"/>
          <w:lang w:val="ru-RU"/>
        </w:rPr>
        <w:t xml:space="preserve"> Нср / 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где:».</w:t>
      </w:r>
    </w:p>
    <w:p w:rsidR="00284986" w:rsidRPr="003E0809" w:rsidRDefault="00284986">
      <w:pPr>
        <w:pStyle w:val="ConsPlusNormal"/>
        <w:jc w:val="center"/>
        <w:rPr>
          <w:rFonts w:ascii="Times New Roman" w:hAnsi="Times New Roman" w:cs="Times New Roman"/>
          <w:lang w:val="ru-RU"/>
        </w:rPr>
      </w:pPr>
    </w:p>
    <w:p w:rsidR="00284986" w:rsidRPr="003E0809" w:rsidRDefault="003E0809">
      <w:pPr>
        <w:pStyle w:val="ConsPlusNormal"/>
        <w:tabs>
          <w:tab w:val="left" w:pos="993"/>
        </w:tabs>
        <w:ind w:firstLine="709"/>
        <w:jc w:val="both"/>
        <w:rPr>
          <w:rFonts w:ascii="Times New Roman" w:hAnsi="Times New Roman" w:cs="Times New Roman"/>
          <w:sz w:val="28"/>
          <w:lang w:val="ru-RU"/>
        </w:rPr>
      </w:pPr>
      <w:r w:rsidRPr="003E0809">
        <w:rPr>
          <w:rFonts w:ascii="Times New Roman" w:eastAsia="Times New Roman" w:hAnsi="Times New Roman" w:cs="Times New Roman"/>
          <w:sz w:val="28"/>
          <w:szCs w:val="28"/>
          <w:lang w:val="ru-RU"/>
        </w:rPr>
        <w:t>Кру</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коэффициент расходов на общемуниципальное развитие и управление 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 муниципальном округе, городском округе, муниципальном районе;</w:t>
      </w:r>
    </w:p>
    <w:p w:rsidR="00284986" w:rsidRPr="003E0809" w:rsidRDefault="00284986">
      <w:pPr>
        <w:pStyle w:val="ConsPlusNormal"/>
        <w:tabs>
          <w:tab w:val="left" w:pos="993"/>
        </w:tabs>
        <w:ind w:firstLine="709"/>
        <w:jc w:val="both"/>
        <w:rPr>
          <w:rFonts w:ascii="Times New Roman" w:hAnsi="Times New Roman" w:cs="Times New Roman"/>
          <w:sz w:val="28"/>
          <w:szCs w:val="28"/>
          <w:lang w:val="ru-RU"/>
        </w:rPr>
      </w:pPr>
    </w:p>
    <w:p w:rsidR="00284986" w:rsidRPr="003E0809" w:rsidRDefault="003E0809">
      <w:pPr>
        <w:pStyle w:val="ConsPlusNormal"/>
        <w:tabs>
          <w:tab w:val="left" w:pos="993"/>
        </w:tabs>
        <w:ind w:firstLine="709"/>
        <w:jc w:val="both"/>
        <w:rPr>
          <w:rFonts w:ascii="Times New Roman" w:eastAsia="Times New Roman" w:hAnsi="Times New Roman" w:cs="Times New Roman"/>
          <w:sz w:val="28"/>
          <w:szCs w:val="28"/>
          <w:lang w:val="ru-RU"/>
        </w:rPr>
      </w:pPr>
      <w:r w:rsidRPr="003E0809">
        <w:rPr>
          <w:rFonts w:ascii="Times New Roman" w:eastAsia="Times New Roman" w:hAnsi="Times New Roman" w:cs="Times New Roman"/>
          <w:sz w:val="28"/>
          <w:szCs w:val="28"/>
          <w:lang w:val="ru-RU"/>
        </w:rPr>
        <w:t>Нср - средняя численность постоянного населения муниципальных округов, городских округов, муниципальных районов;</w:t>
      </w:r>
    </w:p>
    <w:p w:rsidR="00284986" w:rsidRPr="003E0809" w:rsidRDefault="00284986">
      <w:pPr>
        <w:pStyle w:val="ConsPlusNormal"/>
        <w:tabs>
          <w:tab w:val="left" w:pos="993"/>
        </w:tabs>
        <w:ind w:firstLine="709"/>
        <w:jc w:val="both"/>
        <w:rPr>
          <w:rFonts w:ascii="Times New Roman" w:hAnsi="Times New Roman" w:cs="Times New Roman"/>
          <w:sz w:val="28"/>
          <w:szCs w:val="28"/>
          <w:lang w:val="ru-RU"/>
        </w:rPr>
      </w:pPr>
    </w:p>
    <w:p w:rsidR="00284986" w:rsidRPr="003E0809" w:rsidRDefault="003E0809">
      <w:pPr>
        <w:pStyle w:val="ConsPlusNormal"/>
        <w:tabs>
          <w:tab w:val="left" w:pos="993"/>
        </w:tabs>
        <w:ind w:firstLine="709"/>
        <w:jc w:val="both"/>
        <w:rPr>
          <w:rFonts w:ascii="Times New Roman" w:eastAsia="Times New Roman" w:hAnsi="Times New Roman" w:cs="Times New Roman"/>
          <w:sz w:val="28"/>
          <w:szCs w:val="28"/>
          <w:lang w:val="ru-RU"/>
        </w:rPr>
      </w:pPr>
      <w:r w:rsidRPr="003E0809">
        <w:rPr>
          <w:rFonts w:ascii="Times New Roman" w:eastAsia="Times New Roman" w:hAnsi="Times New Roman" w:cs="Times New Roman"/>
          <w:sz w:val="28"/>
          <w:szCs w:val="28"/>
          <w:lang w:val="ru-RU"/>
        </w:rPr>
        <w:t>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численность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284986">
      <w:pPr>
        <w:pStyle w:val="ConsPlusNormal"/>
        <w:ind w:firstLine="540"/>
        <w:jc w:val="both"/>
        <w:rPr>
          <w:rFonts w:ascii="Times New Roman" w:hAnsi="Times New Roman" w:cs="Times New Roman"/>
          <w:lang w:val="ru-RU"/>
        </w:rPr>
      </w:pP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lastRenderedPageBreak/>
        <w:t>2) коэффициент стоимости коммунальных услуг для муниципальных учреждений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Кску</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0,7 + 0,3 </w:t>
      </w:r>
      <w:r>
        <w:rPr>
          <w:rFonts w:ascii="Times New Roman" w:eastAsia="Times New Roman" w:hAnsi="Times New Roman" w:cs="Times New Roman"/>
          <w:sz w:val="28"/>
          <w:szCs w:val="28"/>
        </w:rPr>
        <w:t>x</w:t>
      </w:r>
      <w:r w:rsidRPr="003E0809">
        <w:rPr>
          <w:rFonts w:ascii="Times New Roman" w:eastAsia="Times New Roman" w:hAnsi="Times New Roman" w:cs="Times New Roman"/>
          <w:sz w:val="28"/>
          <w:szCs w:val="28"/>
          <w:lang w:val="ru-RU"/>
        </w:rPr>
        <w:t xml:space="preserve"> (Року</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 (Року / Н),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Кску</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коэффициент стоимости предоставления коммунальных услуг муниципальным учреждениям 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 муниципальном округе, городском округе, муниципальном районе;</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Року</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расчетные расходы на оплату коммунальных услуг муниципальными учреждениями 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 муниципальном округе, городском округе, муниципальном районе;</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численность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Року - расчетные расходы на оплату коммунальных услуг муниципальными учреждениями по всем муниципальным округам, городским округам, муниципальным районам;</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 - численность постоянного населения Оренбургской области.</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Расходы на оплату коммунальных услуг муниципальными учреждениями рассчитываются с учетом ввода новых учреждений (расширения действующих) в течение года, предшествующего планируемому, ожидаемого ввода новых учреждений (расширения действующих) в планируемом году, индекса потребительских цен на конец года, предшествующего планируемому, и индекса потребительских цен, прогнозируемого на планируемый год;</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3) коэффициент плотности автомобильных дорог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Кпад</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(ПД</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 (ПД / Н),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tabs>
          <w:tab w:val="left" w:pos="993"/>
        </w:tabs>
        <w:ind w:firstLine="709"/>
        <w:jc w:val="both"/>
        <w:rPr>
          <w:rFonts w:ascii="Times New Roman" w:hAnsi="Times New Roman" w:cs="Times New Roman"/>
          <w:sz w:val="28"/>
          <w:lang w:val="ru-RU"/>
        </w:rPr>
      </w:pPr>
      <w:r w:rsidRPr="003E0809">
        <w:rPr>
          <w:rFonts w:ascii="Times New Roman" w:eastAsia="Times New Roman" w:hAnsi="Times New Roman" w:cs="Times New Roman"/>
          <w:sz w:val="28"/>
          <w:szCs w:val="28"/>
          <w:lang w:val="ru-RU"/>
        </w:rPr>
        <w:t>Кпад</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коэффициент плотности автомобильных дорог 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 муниципальном округе, городском округе, муниципальном районе;</w:t>
      </w:r>
    </w:p>
    <w:p w:rsidR="00284986" w:rsidRPr="003E0809" w:rsidRDefault="00284986">
      <w:pPr>
        <w:pStyle w:val="ConsPlusNormal"/>
        <w:tabs>
          <w:tab w:val="left" w:pos="993"/>
        </w:tabs>
        <w:ind w:firstLine="709"/>
        <w:jc w:val="both"/>
        <w:rPr>
          <w:rFonts w:ascii="Times New Roman" w:hAnsi="Times New Roman" w:cs="Times New Roman"/>
          <w:sz w:val="28"/>
          <w:lang w:val="ru-RU"/>
        </w:rPr>
      </w:pP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ПД</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протяженность автомобильных дорог, трамвайных и троллейбусных линий 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 муниципальном округе, городском округе, муниципальном районе;</w:t>
      </w:r>
    </w:p>
    <w:p w:rsidR="00284986" w:rsidRPr="003E0809" w:rsidRDefault="00284986">
      <w:pPr>
        <w:pStyle w:val="ConsPlusNormal"/>
        <w:tabs>
          <w:tab w:val="left" w:pos="993"/>
        </w:tabs>
        <w:ind w:firstLine="709"/>
        <w:jc w:val="both"/>
        <w:rPr>
          <w:rFonts w:ascii="Times New Roman" w:hAnsi="Times New Roman" w:cs="Times New Roman"/>
          <w:sz w:val="28"/>
          <w:szCs w:val="28"/>
          <w:lang w:val="ru-RU"/>
        </w:rPr>
      </w:pPr>
    </w:p>
    <w:p w:rsidR="00284986" w:rsidRPr="003E0809" w:rsidRDefault="003E0809">
      <w:pPr>
        <w:pStyle w:val="ConsPlusNormal"/>
        <w:tabs>
          <w:tab w:val="left" w:pos="993"/>
        </w:tabs>
        <w:ind w:firstLine="709"/>
        <w:jc w:val="both"/>
        <w:rPr>
          <w:rFonts w:ascii="Times New Roman" w:eastAsia="Times New Roman" w:hAnsi="Times New Roman" w:cs="Times New Roman"/>
          <w:sz w:val="28"/>
          <w:szCs w:val="28"/>
          <w:lang w:val="ru-RU"/>
        </w:rPr>
      </w:pPr>
      <w:r w:rsidRPr="003E0809">
        <w:rPr>
          <w:rFonts w:ascii="Times New Roman" w:eastAsia="Times New Roman" w:hAnsi="Times New Roman" w:cs="Times New Roman"/>
          <w:sz w:val="28"/>
          <w:szCs w:val="28"/>
          <w:lang w:val="ru-RU"/>
        </w:rPr>
        <w:t>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численность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lastRenderedPageBreak/>
        <w:t>ПД - протяженность автомобильных дорог, трамвайных и троллейбусных линий в Оренбургской области;</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 - численность постоянного населения Оренбургской области;</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4) коэффициент обеспеченности учета и управления земельно-имущественным комплексом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Кзик</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(ПР</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 (ПР / Н),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tabs>
          <w:tab w:val="left" w:pos="993"/>
        </w:tabs>
        <w:ind w:firstLine="709"/>
        <w:jc w:val="both"/>
        <w:rPr>
          <w:rFonts w:ascii="Times New Roman" w:hAnsi="Times New Roman" w:cs="Times New Roman"/>
          <w:sz w:val="28"/>
          <w:lang w:val="ru-RU"/>
        </w:rPr>
      </w:pPr>
      <w:r w:rsidRPr="003E0809">
        <w:rPr>
          <w:rFonts w:ascii="Times New Roman" w:eastAsia="Times New Roman" w:hAnsi="Times New Roman" w:cs="Times New Roman"/>
          <w:sz w:val="28"/>
          <w:szCs w:val="28"/>
          <w:lang w:val="ru-RU"/>
        </w:rPr>
        <w:t>Кзик</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коэффициент обеспеченности учета и управления земельно-имущественным комплексом 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 муниципальном округе, городском округе, муниципальном районе;</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ПР</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расчетные расходы на очередной год на обеспечение учета и управление земельно-имущественным комплексом в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 муниципальном округе, городском округе, муниципальном районе;</w:t>
      </w:r>
    </w:p>
    <w:p w:rsidR="00284986" w:rsidRPr="003E0809" w:rsidRDefault="00284986">
      <w:pPr>
        <w:pStyle w:val="ConsPlusNormal"/>
        <w:tabs>
          <w:tab w:val="left" w:pos="993"/>
        </w:tabs>
        <w:ind w:firstLine="709"/>
        <w:jc w:val="both"/>
        <w:rPr>
          <w:rFonts w:ascii="Times New Roman" w:hAnsi="Times New Roman" w:cs="Times New Roman"/>
          <w:sz w:val="28"/>
          <w:szCs w:val="28"/>
          <w:lang w:val="ru-RU"/>
        </w:rPr>
      </w:pPr>
    </w:p>
    <w:p w:rsidR="00284986" w:rsidRPr="003E0809" w:rsidRDefault="003E0809">
      <w:pPr>
        <w:pStyle w:val="ConsPlusNormal"/>
        <w:tabs>
          <w:tab w:val="left" w:pos="993"/>
        </w:tabs>
        <w:ind w:firstLine="709"/>
        <w:jc w:val="both"/>
        <w:rPr>
          <w:rFonts w:ascii="Times New Roman" w:eastAsia="Times New Roman" w:hAnsi="Times New Roman" w:cs="Times New Roman"/>
          <w:sz w:val="28"/>
          <w:szCs w:val="28"/>
          <w:lang w:val="ru-RU"/>
        </w:rPr>
      </w:pPr>
      <w:r w:rsidRPr="003E0809">
        <w:rPr>
          <w:rFonts w:ascii="Times New Roman" w:eastAsia="Times New Roman" w:hAnsi="Times New Roman" w:cs="Times New Roman"/>
          <w:sz w:val="28"/>
          <w:szCs w:val="28"/>
          <w:lang w:val="ru-RU"/>
        </w:rPr>
        <w:t>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численность постоянного населения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ПР - расчетные расходы на очередной год на обеспечение учета и управление земельно-имущественным комплексом в Оренбургской области по всем муниципальным округам, городским округам, муниципальным районам;</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Н - численность постоянного населения Оренбургской области.</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Рассчитанные оценки индекса бюджетных расходов не являются планируемыми или рекомендуемыми показателями, определяющими расходы бюджетов муниципальных округов, городских округов, муниципальных районов, и используются только для расчета бюджетной обеспеченности муниципальных округов, городских округов, муниципальных районов в целях межбюджетного регулирования.</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Объем дотаций на выравнивание бюджетной обеспеченности муниципальному округу, городскому округу, муниципальному району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jc w:val="center"/>
        <w:rPr>
          <w:rFonts w:ascii="Times New Roman" w:hAnsi="Times New Roman" w:cs="Times New Roman"/>
          <w:lang w:val="ru-RU"/>
        </w:rPr>
      </w:pPr>
      <w:r w:rsidRPr="003E0809">
        <w:rPr>
          <w:rFonts w:ascii="Times New Roman" w:eastAsia="Times New Roman" w:hAnsi="Times New Roman" w:cs="Times New Roman"/>
          <w:sz w:val="28"/>
          <w:szCs w:val="28"/>
          <w:lang w:val="ru-RU"/>
        </w:rPr>
        <w:t>Д</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Д(1)</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Д(2)</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ОДН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где:</w:t>
      </w:r>
    </w:p>
    <w:p w:rsidR="00284986" w:rsidRPr="003E0809" w:rsidRDefault="00284986">
      <w:pPr>
        <w:pStyle w:val="ConsPlusNormal"/>
        <w:jc w:val="both"/>
        <w:rPr>
          <w:rFonts w:ascii="Times New Roman" w:hAnsi="Times New Roman" w:cs="Times New Roman"/>
          <w:lang w:val="ru-RU"/>
        </w:rPr>
      </w:pPr>
    </w:p>
    <w:p w:rsidR="00284986" w:rsidRPr="003E0809" w:rsidRDefault="003E0809">
      <w:pPr>
        <w:pStyle w:val="ConsPlusNormal"/>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Д</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общий объем дотаций на выравнивание бюджетной обеспеченности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-му муниципальному округу, городскому округу, муниципальному району;</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Д(1)</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объем первой части дотаций на выравнивание бюджетной обеспеченности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-му муниципальному округу, городскому округу, муниципальному району, необходимый для доведения уровня расчетной </w:t>
      </w:r>
      <w:r w:rsidRPr="003E0809">
        <w:rPr>
          <w:rFonts w:ascii="Times New Roman" w:eastAsia="Times New Roman" w:hAnsi="Times New Roman" w:cs="Times New Roman"/>
          <w:sz w:val="28"/>
          <w:szCs w:val="28"/>
          <w:lang w:val="ru-RU"/>
        </w:rPr>
        <w:lastRenderedPageBreak/>
        <w:t xml:space="preserve">бюджетной обеспеченности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-го муниципального округа, городского округа, муниципального района до уровня, установленного в качестве первого критерия выравнивания бюджетной обеспеченности;</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Д(2)</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объем второй части дотаций на выравнивание бюджетной обеспеченности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-му муниципальному округу, городскому округу, муниципальному району, распределяемый для пропорционального подтягивания уровня расчетной бюджетной обеспеченности данного муниципального образования до уровня бюджетной обеспеченности, соответствующего среднему уровню расходных обязательств муниципальных округов, городских округов, муниципальных районов в планируемом году;</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ОДН</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 xml:space="preserve"> - объем дотаций на выравнивание бюджетной обеспеченности </w:t>
      </w:r>
      <w:r>
        <w:rPr>
          <w:rFonts w:ascii="Times New Roman" w:eastAsia="Times New Roman" w:hAnsi="Times New Roman" w:cs="Times New Roman"/>
          <w:sz w:val="28"/>
          <w:szCs w:val="28"/>
        </w:rPr>
        <w:t>j</w:t>
      </w:r>
      <w:r w:rsidRPr="003E0809">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w:t>
      </w:r>
    </w:p>
    <w:p w:rsidR="00284986" w:rsidRPr="003E0809" w:rsidRDefault="003E0809">
      <w:pPr>
        <w:pStyle w:val="ConsPlusNormal"/>
        <w:spacing w:before="240"/>
        <w:ind w:firstLine="540"/>
        <w:jc w:val="both"/>
        <w:rPr>
          <w:rFonts w:ascii="Times New Roman" w:hAnsi="Times New Roman" w:cs="Times New Roman"/>
          <w:lang w:val="ru-RU"/>
        </w:rPr>
      </w:pPr>
      <w:r w:rsidRPr="003E0809">
        <w:rPr>
          <w:rFonts w:ascii="Times New Roman" w:eastAsia="Times New Roman" w:hAnsi="Times New Roman" w:cs="Times New Roman"/>
          <w:sz w:val="28"/>
          <w:szCs w:val="28"/>
          <w:lang w:val="ru-RU"/>
        </w:rPr>
        <w:t>Объем средств, необходимый для доведения уровня расчетной бюджетной обеспеченности муниципального округа, городского округа, муниципального района до уровня, установленного в качестве первого критерия выравнивания бюджетной обеспеченности, рассчитывается по следующей формуле:</w:t>
      </w:r>
    </w:p>
    <w:p w:rsidR="00284986" w:rsidRPr="003E0809"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Д(1)</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(ПДмо;го;мр) / Н)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(БО(1) - БО</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ИБР</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Д(1)</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объем первой части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-му муниципальному округу, городскому округу, муниципальному району, необходимый для доведения уровня расчетной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 до уровня, установленного в качестве первого критерия выравнивания бюджетной обеспеченности;</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 xml:space="preserve">ПДмо;го;мр - прогноз доходов, равный суммарному налоговому потенциалу всех бюджетов муниципальных округов, городских округов, муниципальных районов в планируемом году; </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Н - численность постоянного населения Оренбургской области;</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БО(1) - уровень бюджетной обеспеченности, установленный в качестве первого критерия выравнивания и равный 0,5;</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БО</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бюджетная обеспеченность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ИБР</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индекс бюджетных расходов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lastRenderedPageBreak/>
        <w:t>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численность постоянного населения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Объем средств, распределяемый муниципальному округу, городскому округу, муниципальному району для пропорционального подтягивания уровня расчетной бюджетной обеспеченности до уровня бюджетной обеспеченности, соответствующего среднему уровню расходных обязательств муниципальных округов, городских округов, муниципальных районов в планируемом году,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Д(2)</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(ООДМО;ГО;МР) - </w:t>
      </w:r>
      <w:r>
        <w:rPr>
          <w:rFonts w:ascii="Times New Roman" w:eastAsia="Times New Roman" w:hAnsi="Times New Roman" w:cs="Times New Roman"/>
          <w:sz w:val="28"/>
          <w:szCs w:val="28"/>
        </w:rPr>
        <w:t>SUM</w:t>
      </w:r>
      <w:r w:rsidRPr="00D64C41">
        <w:rPr>
          <w:rFonts w:ascii="Times New Roman" w:eastAsia="Times New Roman" w:hAnsi="Times New Roman" w:cs="Times New Roman"/>
          <w:sz w:val="28"/>
          <w:szCs w:val="28"/>
          <w:lang w:val="ru-RU"/>
        </w:rPr>
        <w:t xml:space="preserve"> Д(1)</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Tj</w:t>
      </w:r>
      <w:r w:rsidRPr="00D64C41">
        <w:rPr>
          <w:rFonts w:ascii="Times New Roman" w:eastAsia="Times New Roman" w:hAnsi="Times New Roman" w:cs="Times New Roman"/>
          <w:sz w:val="28"/>
          <w:szCs w:val="28"/>
          <w:lang w:val="ru-RU"/>
        </w:rPr>
        <w:t xml:space="preserve"> / </w:t>
      </w:r>
      <w:r>
        <w:rPr>
          <w:rFonts w:ascii="Times New Roman" w:eastAsia="Times New Roman" w:hAnsi="Times New Roman" w:cs="Times New Roman"/>
          <w:sz w:val="28"/>
          <w:szCs w:val="28"/>
        </w:rPr>
        <w:t>T</w:t>
      </w:r>
      <w:r w:rsidRPr="00D64C41">
        <w:rPr>
          <w:rFonts w:ascii="Times New Roman" w:eastAsia="Times New Roman" w:hAnsi="Times New Roman" w:cs="Times New Roman"/>
          <w:sz w:val="28"/>
          <w:szCs w:val="28"/>
          <w:lang w:val="ru-RU"/>
        </w:rPr>
        <w:t>,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tabs>
          <w:tab w:val="left" w:pos="993"/>
        </w:tabs>
        <w:ind w:firstLine="709"/>
        <w:jc w:val="both"/>
        <w:rPr>
          <w:rFonts w:ascii="Times New Roman" w:hAnsi="Times New Roman" w:cs="Times New Roman"/>
          <w:sz w:val="28"/>
          <w:lang w:val="ru-RU"/>
        </w:rPr>
      </w:pPr>
      <w:r w:rsidRPr="00D64C41">
        <w:rPr>
          <w:rFonts w:ascii="Times New Roman" w:eastAsia="Times New Roman" w:hAnsi="Times New Roman" w:cs="Times New Roman"/>
          <w:sz w:val="28"/>
          <w:szCs w:val="28"/>
          <w:lang w:val="ru-RU"/>
        </w:rPr>
        <w:t>Д(2)</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объем второй части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-му муниципальному округу, городскому округу, муниципальному району, распределяемый для пропорционального подтягивания уровня расчетной бюджетной обеспеченности данного муниципального образования до уровня бюджетной обеспеченности, соответствующего среднему уровню расходных обязательств муниципальных округов, городских округов, муниципальных районов в планируемом году; </w:t>
      </w:r>
    </w:p>
    <w:p w:rsidR="00284986" w:rsidRPr="00D64C41" w:rsidRDefault="00284986">
      <w:pPr>
        <w:pStyle w:val="ConsPlusNormal"/>
        <w:ind w:firstLine="540"/>
        <w:jc w:val="both"/>
        <w:rPr>
          <w:rFonts w:ascii="Times New Roman" w:hAnsi="Times New Roman" w:cs="Times New Roman"/>
          <w:lang w:val="ru-RU"/>
        </w:rPr>
      </w:pP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ООДМО;ГО; МР - общий объем дотации на выравнивание бюджетной обеспеченности муниципальных округов, городских округов, муниципальных районов;</w:t>
      </w:r>
    </w:p>
    <w:p w:rsidR="00284986" w:rsidRPr="00D64C41"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SUM</w:t>
      </w:r>
      <w:r w:rsidRPr="00D64C41">
        <w:rPr>
          <w:rFonts w:ascii="Times New Roman" w:eastAsia="Times New Roman" w:hAnsi="Times New Roman" w:cs="Times New Roman"/>
          <w:sz w:val="28"/>
          <w:szCs w:val="28"/>
          <w:lang w:val="ru-RU"/>
        </w:rPr>
        <w:t xml:space="preserve"> Д(1)</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общий объем средств, распределяемый муниципальным округам, городским округам, муниципальным районам для доведения уровня расчетной бюджетной обеспеченности муниципального округа, городского округа, муниципального района до уровня, установленного в качестве первого критерия выравнивания бюджетной обеспеченности;</w:t>
      </w:r>
    </w:p>
    <w:p w:rsidR="00284986" w:rsidRPr="00D64C41"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Tj</w:t>
      </w:r>
      <w:r w:rsidRPr="00D64C41">
        <w:rPr>
          <w:rFonts w:ascii="Times New Roman" w:eastAsia="Times New Roman" w:hAnsi="Times New Roman" w:cs="Times New Roman"/>
          <w:sz w:val="28"/>
          <w:szCs w:val="28"/>
          <w:lang w:val="ru-RU"/>
        </w:rPr>
        <w:t xml:space="preserve"> - объем средств, необходимый для доведения уровня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 до уровня бюджетной обеспеченности, соответствующего среднему уровню расходных обязательств муниципальных округов, городских округов, муниципальных районов в планируемом году;</w:t>
      </w:r>
    </w:p>
    <w:p w:rsidR="00284986" w:rsidRPr="00D64C41"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T</w:t>
      </w:r>
      <w:r w:rsidRPr="00D64C41">
        <w:rPr>
          <w:rFonts w:ascii="Times New Roman" w:eastAsia="Times New Roman" w:hAnsi="Times New Roman" w:cs="Times New Roman"/>
          <w:sz w:val="28"/>
          <w:szCs w:val="28"/>
          <w:lang w:val="ru-RU"/>
        </w:rPr>
        <w:t xml:space="preserve"> - суммарный объем средств, необходимый для доведения уровня бюджетной обеспеченности муниципальных округов, городских округов, муниципальных районов до уровня бюджетной обеспеченности, соответствующего среднему уровню расходных обязательств муниципальных округов, городских округов, муниципальных районов в планируемом году.</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 xml:space="preserve">Объем средств, необходимый для доведения уровня бюджетной обеспеченности муниципального округа, городского округа, муниципального района до уровня бюджетной обеспеченности, соответствующего среднему уровню расходных обязательств муниципальных округов, городских округов, </w:t>
      </w:r>
      <w:r w:rsidRPr="00D64C41">
        <w:rPr>
          <w:rFonts w:ascii="Times New Roman" w:eastAsia="Times New Roman" w:hAnsi="Times New Roman" w:cs="Times New Roman"/>
          <w:sz w:val="28"/>
          <w:szCs w:val="28"/>
          <w:lang w:val="ru-RU"/>
        </w:rPr>
        <w:lastRenderedPageBreak/>
        <w:t>муниципальных районов в планируемом году,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Pr>
          <w:rFonts w:ascii="Times New Roman" w:eastAsia="Times New Roman" w:hAnsi="Times New Roman" w:cs="Times New Roman"/>
          <w:sz w:val="28"/>
          <w:szCs w:val="28"/>
        </w:rPr>
        <w:t>Tj</w:t>
      </w:r>
      <w:r w:rsidRPr="00D64C41">
        <w:rPr>
          <w:rFonts w:ascii="Times New Roman" w:eastAsia="Times New Roman" w:hAnsi="Times New Roman" w:cs="Times New Roman"/>
          <w:sz w:val="28"/>
          <w:szCs w:val="28"/>
          <w:lang w:val="ru-RU"/>
        </w:rPr>
        <w:t xml:space="preserve"> = (ПДмо;го;мр / Н)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(БОмо;го;мр - БОк</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ИБР</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Pr>
          <w:rFonts w:ascii="Times New Roman" w:eastAsia="Times New Roman" w:hAnsi="Times New Roman" w:cs="Times New Roman"/>
          <w:sz w:val="28"/>
          <w:szCs w:val="28"/>
        </w:rPr>
        <w:t>Tj</w:t>
      </w:r>
      <w:r w:rsidRPr="00D64C41">
        <w:rPr>
          <w:rFonts w:ascii="Times New Roman" w:eastAsia="Times New Roman" w:hAnsi="Times New Roman" w:cs="Times New Roman"/>
          <w:sz w:val="28"/>
          <w:szCs w:val="28"/>
          <w:lang w:val="ru-RU"/>
        </w:rPr>
        <w:t xml:space="preserve"> - объем средств, необходимый для доведения уровня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 до уровня бюджетной обеспеченности, соответствующего среднему уровню расходных обязательств муниципальных округов, городских округов, муниципальных районов в планируемом году;</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ПДмо;го;мр - прогноз доходов, равный суммарному налоговому потенциалу всех бюджетов муниципальных округов, городских округов, муниципальных районов Оренбургской области в планируемом году;</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Н - численность постоянного населения Оренбургской области;</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БОмо;го;мр - уровень бюджетной обеспеченности, соответствующий среднему уровню расходных обязательств муниципальных округов, городских округов, муниципальных районов в планируемом году;</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БОк</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бюджетная обеспеченность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 после распределения средств, необходимых для доведения уровня расчетной бюджетной обеспеченности муниципальных округов, городских округов, муниципальных районов до уровня, установленного в качестве первого критерия выравнивания бюджетной обеспеченности;</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ИБР</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индекс бюджетных расходов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численность постоянного населения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Уровень бюджетной обеспеченности, соответствующий среднему уровню расходных обязательств муниципальных округов, городских округов, муниципальных районов в планируемом году,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БОмо;го;мр = (ПДмо;го;мр - СР + ООДМО;ГО; МР) / (ПДмо;го;мр - СР),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БОмо;го;мр - уровень бюджетной обеспеченности, соответствующий среднему уровню расходных обязательств муниципальных округов, городских округов, муниципальных районов в планируемом году;</w:t>
      </w:r>
    </w:p>
    <w:p w:rsidR="00284986" w:rsidRPr="00D64C41" w:rsidRDefault="003E0809">
      <w:pPr>
        <w:pStyle w:val="ConsPlusNormal"/>
        <w:spacing w:before="240"/>
        <w:ind w:firstLine="540"/>
        <w:jc w:val="both"/>
        <w:rPr>
          <w:rFonts w:ascii="Times New Roman" w:eastAsia="Times New Roman" w:hAnsi="Times New Roman" w:cs="Times New Roman"/>
          <w:strike/>
          <w:sz w:val="28"/>
          <w:szCs w:val="28"/>
          <w:lang w:val="ru-RU"/>
        </w:rPr>
      </w:pPr>
      <w:r w:rsidRPr="00D64C41">
        <w:rPr>
          <w:rFonts w:ascii="Times New Roman" w:eastAsia="Times New Roman" w:hAnsi="Times New Roman" w:cs="Times New Roman"/>
          <w:sz w:val="28"/>
          <w:szCs w:val="28"/>
          <w:lang w:val="ru-RU"/>
        </w:rPr>
        <w:lastRenderedPageBreak/>
        <w:t>ПДмо;го;мр - прогноз доходов, равный суммарному налоговому потенциалу всех бюджетов муниципальных округов, городских округов, муниципальных районов в планируемом году;</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СР - общий размер субсидий из бюджетов муниципальных округов, городских округов, муниципальных районов в бюджет Оренбургской области на очередной финансовый год;</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ООДМО;ГО;МР - общий объем дотаций на выравнивание бюджетной обеспеченности муниципальных округов, городских округов, муниципальных районов.</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Объем дотаций на выравнивание бюджетной обеспеченности, замещаемый дополнительным нормативом отчислений от налога на доходы физических лиц,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ОДН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ООДН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ДДН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ООДН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основной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дополнительный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 рассчитываемый в случае отказа отдельных муниципальных образований в установленном порядке от замены дотации на выравнивание бюджетной обеспеченности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Основной объем дотаций на выравнивание бюджетной обеспеченности, замещаемый дополнительным нормативом отчислений от налога на доходы физических лиц,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ООДН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ОВЗ</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w:t>
      </w:r>
      <w:r>
        <w:rPr>
          <w:rFonts w:ascii="Times New Roman" w:eastAsia="Times New Roman" w:hAnsi="Times New Roman" w:cs="Times New Roman"/>
          <w:sz w:val="28"/>
          <w:szCs w:val="28"/>
        </w:rPr>
        <w:t>SUM</w:t>
      </w:r>
      <w:r w:rsidRPr="00D64C41">
        <w:rPr>
          <w:rFonts w:ascii="Times New Roman" w:eastAsia="Times New Roman" w:hAnsi="Times New Roman" w:cs="Times New Roman"/>
          <w:sz w:val="28"/>
          <w:szCs w:val="28"/>
          <w:lang w:val="ru-RU"/>
        </w:rPr>
        <w:t xml:space="preserve"> ОВЗ</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ОД,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ООДН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основной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lastRenderedPageBreak/>
        <w:t>ОВЗ</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возможный к замещению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SUM</w:t>
      </w:r>
      <w:r w:rsidRPr="00D64C41">
        <w:rPr>
          <w:rFonts w:ascii="Times New Roman" w:eastAsia="Times New Roman" w:hAnsi="Times New Roman" w:cs="Times New Roman"/>
          <w:sz w:val="28"/>
          <w:szCs w:val="28"/>
          <w:lang w:val="ru-RU"/>
        </w:rPr>
        <w:t xml:space="preserve"> - знак суммирования;</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ОД - объем дотаций на выравнивание бюджетной обеспеченности, планируемый к замещению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Объем дотаций на выравнивание бюджетной обеспеченности, планируемый к замещению дополнительным нормативом отчислений от налога на доходы физических лиц,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 xml:space="preserve">ОД = ПН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Норм,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ОД - объем дотаций на выравнивание бюджетной обеспеченности, планируемый к замещению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 xml:space="preserve">ПН - прогноз поступлений налога на доходы физических лиц </w:t>
      </w:r>
      <w:r w:rsidRPr="00D64C41">
        <w:rPr>
          <w:rFonts w:ascii="Times New Roman" w:eastAsia="Times New Roman" w:hAnsi="Times New Roman" w:cs="Times New Roman"/>
          <w:color w:val="000000"/>
          <w:sz w:val="28"/>
          <w:szCs w:val="28"/>
          <w:lang w:val="ru-RU"/>
        </w:rPr>
        <w:t>с доходов, облагаемых по ставке 13 процентов</w:t>
      </w:r>
      <w:r w:rsidRPr="00D64C41">
        <w:rPr>
          <w:rFonts w:ascii="Times New Roman" w:eastAsia="Times New Roman" w:hAnsi="Times New Roman" w:cs="Times New Roman"/>
          <w:sz w:val="28"/>
          <w:szCs w:val="28"/>
          <w:lang w:val="ru-RU"/>
        </w:rPr>
        <w:t xml:space="preserve"> в консолидированный бюджет Оренбургской области в планируемом году;</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Норм - общий норматив зачисления в бюджеты муниципальных округов, городских округов, муниципальных районов налога на доходы физических лиц взамен дотаций на выравнивание бюджетной обеспеченности муниципальных округов, городских округов, муниципальных районов, установленный в соответствии со  настоящего Закона.</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Объем дотаций на выравнивание бюджетной обеспеченности муниципальных округов, городских округов, муниципальных районов, возможный к замещению дополнительным нормативом отчислений от налога на доходы физических лиц,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ОВЗ</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Д(1)</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Д(2)</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ОВЗ</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возможный к замещению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Д(1)</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объем первой части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-му муниципальному округу, городскому округу, муниципальному району, необходимый для доведения уровня расчетной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-го муниципального округа, городского округа, </w:t>
      </w:r>
      <w:r w:rsidRPr="00D64C41">
        <w:rPr>
          <w:rFonts w:ascii="Times New Roman" w:eastAsia="Times New Roman" w:hAnsi="Times New Roman" w:cs="Times New Roman"/>
          <w:sz w:val="28"/>
          <w:szCs w:val="28"/>
          <w:lang w:val="ru-RU"/>
        </w:rPr>
        <w:lastRenderedPageBreak/>
        <w:t>муниципального района до уровня, установленного в качестве первого критерия выравнивания бюджетной обеспеченности;</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Д(2)</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объем второй части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распределяемый для пропорционального подтягивания уровня расчетной бюджетной обеспеченности данного муниципального образования до уровня бюджетной обеспеченности, соответствующего среднему уровню расходных обязательств муниципальных округов, городских округов, муниципальных районов в планируемом году;</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В случае если объем дотаций отдельному муниципальному образованию, возможный к замещению дополнительным нормативом отчислений от налога на доходы физических лиц, превышает максимально возможный объем замещения, определяемый как объем налога на доходы физических лиц, подлежащий в соответствии с требованиями бюджетного законодательства зачислению в областной бюджет с территории данного муниципального образования, в расчетах применяется максимально возможный объем замещения.</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Дополнительный объем дотаций на выравнивание бюджетной обеспеченности муниципальных округов, городских округов, муниципальных районов, замещаемый дополнительным нормативом отчислений от налога на доходы физических лиц, рассчитываемый в случае отказа отдельных муниципальных образований в установленном порядке от замены дотации дополнительным нормативом отчислений от налога на доходы физических лиц,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ДДН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ООДН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w:t>
      </w:r>
      <w:r>
        <w:rPr>
          <w:rFonts w:ascii="Times New Roman" w:eastAsia="Times New Roman" w:hAnsi="Times New Roman" w:cs="Times New Roman"/>
          <w:sz w:val="28"/>
          <w:szCs w:val="28"/>
        </w:rPr>
        <w:t>SUM</w:t>
      </w:r>
      <w:r w:rsidRPr="00D64C41">
        <w:rPr>
          <w:rFonts w:ascii="Times New Roman" w:eastAsia="Times New Roman" w:hAnsi="Times New Roman" w:cs="Times New Roman"/>
          <w:sz w:val="28"/>
          <w:szCs w:val="28"/>
          <w:lang w:val="ru-RU"/>
        </w:rPr>
        <w:t xml:space="preserve"> ООДО</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ОДО,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дополнительный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 рассчитываемый в случае отказа отдельных муниципальных образований в установленном порядке от замены дотации на выравнивание бюджетной обеспеченности дополнительным нормативом отчислений от налога на доходы физических лиц;</w:t>
      </w:r>
    </w:p>
    <w:p w:rsidR="00284986" w:rsidRPr="00D64C41" w:rsidRDefault="00284986">
      <w:pPr>
        <w:pStyle w:val="ConsPlusNormal"/>
        <w:ind w:firstLine="540"/>
        <w:jc w:val="both"/>
        <w:rPr>
          <w:rFonts w:ascii="Times New Roman" w:hAnsi="Times New Roman" w:cs="Times New Roman"/>
          <w:lang w:val="ru-RU"/>
        </w:rPr>
      </w:pPr>
    </w:p>
    <w:p w:rsidR="00284986" w:rsidRPr="00D64C41" w:rsidRDefault="003E0809">
      <w:pPr>
        <w:pStyle w:val="ConsPlusNormal"/>
        <w:tabs>
          <w:tab w:val="left" w:pos="993"/>
        </w:tabs>
        <w:ind w:firstLine="709"/>
        <w:jc w:val="both"/>
        <w:rPr>
          <w:rFonts w:ascii="Times New Roman" w:hAnsi="Times New Roman" w:cs="Times New Roman"/>
          <w:sz w:val="28"/>
          <w:lang w:val="ru-RU"/>
        </w:rPr>
      </w:pPr>
      <w:r w:rsidRPr="00D64C41">
        <w:rPr>
          <w:rFonts w:ascii="Times New Roman" w:eastAsia="Times New Roman" w:hAnsi="Times New Roman" w:cs="Times New Roman"/>
          <w:sz w:val="28"/>
          <w:szCs w:val="28"/>
          <w:lang w:val="ru-RU"/>
        </w:rPr>
        <w:t>«ООДН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основной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w:t>
      </w:r>
    </w:p>
    <w:p w:rsidR="00284986" w:rsidRPr="00D64C41" w:rsidRDefault="00284986">
      <w:pPr>
        <w:pStyle w:val="ConsPlusNormal"/>
        <w:ind w:firstLine="540"/>
        <w:jc w:val="both"/>
        <w:rPr>
          <w:rFonts w:ascii="Times New Roman" w:hAnsi="Times New Roman" w:cs="Times New Roman"/>
          <w:lang w:val="ru-RU"/>
        </w:rPr>
      </w:pPr>
    </w:p>
    <w:p w:rsidR="00284986" w:rsidRPr="00D64C41" w:rsidRDefault="003E0809">
      <w:pPr>
        <w:pStyle w:val="ConsPlusNormal"/>
        <w:tabs>
          <w:tab w:val="left" w:pos="993"/>
        </w:tabs>
        <w:ind w:firstLine="709"/>
        <w:jc w:val="both"/>
        <w:rPr>
          <w:rFonts w:ascii="Times New Roman" w:hAnsi="Times New Roman" w:cs="Times New Roman"/>
          <w:sz w:val="28"/>
          <w:lang w:val="ru-RU"/>
        </w:rPr>
      </w:pPr>
      <w:r w:rsidRPr="00D64C41">
        <w:rPr>
          <w:rFonts w:ascii="Times New Roman" w:eastAsia="Times New Roman" w:hAnsi="Times New Roman" w:cs="Times New Roman"/>
          <w:sz w:val="28"/>
          <w:szCs w:val="28"/>
          <w:lang w:val="ru-RU"/>
        </w:rPr>
        <w:t>«ООДО</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основной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-му муниципальному образованию, кроме муниципального </w:t>
      </w:r>
      <w:r w:rsidRPr="00D64C41">
        <w:rPr>
          <w:rFonts w:ascii="Times New Roman" w:eastAsia="Times New Roman" w:hAnsi="Times New Roman" w:cs="Times New Roman"/>
          <w:sz w:val="28"/>
          <w:szCs w:val="28"/>
          <w:lang w:val="ru-RU"/>
        </w:rPr>
        <w:lastRenderedPageBreak/>
        <w:t>образования, отказавшегося в установленном порядке от замены дотации на выравнивание бюджетной обеспеченности, замещаемый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Pr>
          <w:rFonts w:ascii="Times New Roman" w:eastAsia="Times New Roman" w:hAnsi="Times New Roman" w:cs="Times New Roman"/>
          <w:sz w:val="28"/>
          <w:szCs w:val="28"/>
        </w:rPr>
        <w:t>SUM</w:t>
      </w:r>
      <w:r w:rsidRPr="00D64C41">
        <w:rPr>
          <w:rFonts w:ascii="Times New Roman" w:eastAsia="Times New Roman" w:hAnsi="Times New Roman" w:cs="Times New Roman"/>
          <w:sz w:val="28"/>
          <w:szCs w:val="28"/>
          <w:lang w:val="ru-RU"/>
        </w:rPr>
        <w:t xml:space="preserve"> - знак суммирования;</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ОДО - объем дотаций на выравнивание бюджетной обеспеченности муниципальных округов, городских округов, муниципальных районов, рассчитанный по муниципальным образованиям, отказавшимся в установленном порядке от замещения дотации на выравнивание бюджетной обеспеченности муниципальных округов, городских округов, муниципальных районов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В случае если сумма основного и дополнительного объемов дотаций на выравнивание бюджетной обеспеченности муниципальных округов, городских округов, муниципальных районов, замещаемых дополнительными нормативами отчислений от налога на доходы физических лиц, превышает максимально возможный объем замещения, определяемый как объем налога на доходы физических лиц, подлежащий в соответствии с требованиями бюджетного законодательства зачислению в областной бюджет, дополнительный объем дотаций на выравнивание бюджетной обеспеченности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ДДН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ООДО</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дополнительный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 рассчитываемый в случае отказа отдельных муниципальных образований в установленном порядке от замены дотаций на выравнивание бюджетной обеспеченности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максимально возможный объем замещения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-му муниципальному образованию, определяемый как объем налога на доходы физических лиц, подлежащий в соответствии с требованиями бюджетного законодательства зачислению в областной бюджет с территории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образования;</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ООДО</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основной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-му муниципальному образованию, кроме муниципального образования, отказавшегося в установленном порядке от замены дотаций на выравнивание бюджетной обеспеченности, замещаемый дополнительным нормативом отчислений от налога на доходы физических лиц. </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lastRenderedPageBreak/>
        <w:t>Дополнительный норматив отчислений от налога на доходы физических лиц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sidRPr="00D64C41">
        <w:rPr>
          <w:rFonts w:ascii="Times New Roman" w:eastAsia="Times New Roman" w:hAnsi="Times New Roman" w:cs="Times New Roman"/>
          <w:strike/>
          <w:sz w:val="28"/>
          <w:szCs w:val="28"/>
          <w:lang w:val="ru-RU"/>
        </w:rPr>
        <w:t xml:space="preserve"> </w:t>
      </w:r>
      <w:r w:rsidRPr="00D64C41">
        <w:rPr>
          <w:rFonts w:ascii="Times New Roman" w:eastAsia="Times New Roman" w:hAnsi="Times New Roman" w:cs="Times New Roman"/>
          <w:sz w:val="28"/>
          <w:szCs w:val="28"/>
          <w:lang w:val="ru-RU"/>
        </w:rPr>
        <w:t>ООДО</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ПН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100 + ДДН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ПН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x</w:t>
      </w:r>
      <w:r w:rsidRPr="00D64C41">
        <w:rPr>
          <w:rFonts w:ascii="Times New Roman" w:eastAsia="Times New Roman" w:hAnsi="Times New Roman" w:cs="Times New Roman"/>
          <w:sz w:val="28"/>
          <w:szCs w:val="28"/>
          <w:lang w:val="ru-RU"/>
        </w:rPr>
        <w:t xml:space="preserve"> 100, где: </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дополнительный норматив отчислений от налога на доходы физических лиц в бюджет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-го муниципального округа, городского округа, муниципального района, выраженный в процентах;</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«ООДО</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основной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образованию, кроме муниципального образования, отказавшегося в установленном порядке от замены дотации на выравнивание бюджетной обеспеченности, замещаемый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ПН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п</w:t>
      </w:r>
      <w:r w:rsidRPr="00D64C41">
        <w:rPr>
          <w:rFonts w:ascii="Times New Roman" w:eastAsia="Times New Roman" w:hAnsi="Times New Roman" w:cs="Times New Roman"/>
          <w:color w:val="000000"/>
          <w:sz w:val="28"/>
          <w:szCs w:val="28"/>
          <w:lang w:val="ru-RU"/>
        </w:rPr>
        <w:t>рогнозируемый объем налога на доходы физических лиц с доходов, облагаемых по ставке 13 процентов</w:t>
      </w:r>
      <w:r w:rsidRPr="00D64C41">
        <w:rPr>
          <w:rFonts w:ascii="Times New Roman" w:eastAsia="Times New Roman" w:hAnsi="Times New Roman" w:cs="Times New Roman"/>
          <w:sz w:val="28"/>
          <w:szCs w:val="28"/>
          <w:lang w:val="ru-RU"/>
        </w:rPr>
        <w:t>, подлежащий зачислению в консолидированный бюджет Оренбургской области</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ДДН</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 xml:space="preserve"> - дополнительный объем дотаций на выравнивание бюджетной обеспеченности </w:t>
      </w:r>
      <w:r>
        <w:rPr>
          <w:rFonts w:ascii="Times New Roman" w:eastAsia="Times New Roman" w:hAnsi="Times New Roman" w:cs="Times New Roman"/>
          <w:sz w:val="28"/>
          <w:szCs w:val="28"/>
        </w:rPr>
        <w:t>j</w:t>
      </w:r>
      <w:r w:rsidRPr="00D64C41">
        <w:rPr>
          <w:rFonts w:ascii="Times New Roman" w:eastAsia="Times New Roman" w:hAnsi="Times New Roman" w:cs="Times New Roman"/>
          <w:sz w:val="28"/>
          <w:szCs w:val="28"/>
          <w:lang w:val="ru-RU"/>
        </w:rPr>
        <w:t>-му муниципальному округу, городскому округу, муниципальному району, замещаемый дополнительным нормативом отчислений от налога на доходы физических лиц, рассчитываемый в случае отказа отдельных муниципальных образований в установленном порядке от замены дотаций на выравнивание бюджетной обеспеченности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Общий объем дотаций на выравнивание бюджетной обеспеченности муниципальных округов, городских округов, муниципальных районов рассчитывается по следующей формуле: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jc w:val="center"/>
        <w:rPr>
          <w:rFonts w:ascii="Times New Roman" w:hAnsi="Times New Roman" w:cs="Times New Roman"/>
          <w:lang w:val="ru-RU"/>
        </w:rPr>
      </w:pPr>
      <w:r w:rsidRPr="00D64C41">
        <w:rPr>
          <w:rFonts w:ascii="Times New Roman" w:eastAsia="Times New Roman" w:hAnsi="Times New Roman" w:cs="Times New Roman"/>
          <w:sz w:val="28"/>
          <w:szCs w:val="28"/>
          <w:lang w:val="ru-RU"/>
        </w:rPr>
        <w:t>ООДМО;ГО;МР = ОСД + ОД + ОС, где:</w:t>
      </w:r>
    </w:p>
    <w:p w:rsidR="00284986" w:rsidRPr="00D64C41" w:rsidRDefault="00284986">
      <w:pPr>
        <w:pStyle w:val="ConsPlusNormal"/>
        <w:jc w:val="both"/>
        <w:rPr>
          <w:rFonts w:ascii="Times New Roman" w:hAnsi="Times New Roman" w:cs="Times New Roman"/>
          <w:lang w:val="ru-RU"/>
        </w:rPr>
      </w:pPr>
    </w:p>
    <w:p w:rsidR="00284986" w:rsidRPr="00D64C41" w:rsidRDefault="003E0809">
      <w:pPr>
        <w:pStyle w:val="ConsPlusNormal"/>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ООДМО;ГО;МР - общий объем дотаций на выравнивание бюджетной обеспеченности муниципальных округов, городских округов, муниципальных районов;</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ОСД - расчетный объем собственных доходов областного бюджета, планируемых к направлению на предоставление дотаций на выравнивание бюджетной обеспеченности муниципальных округов, городских округов, муниципальных районов;</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ОД - объем дотаций на выравнивание бюджетной обеспеченности, планируемый к замещению дополнительным нормативом отчислений от налога на доходы физических лиц;</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lastRenderedPageBreak/>
        <w:t>ОС - планируемый объем субсидий из бюджетов муниципальных округов, городских округов, муниципальных районов в областной бюджет, перечисляемых в соответствии со  настоящего Закона.</w:t>
      </w:r>
    </w:p>
    <w:p w:rsidR="00284986" w:rsidRPr="00D64C41" w:rsidRDefault="003E0809">
      <w:pPr>
        <w:pStyle w:val="ConsPlusNormal"/>
        <w:spacing w:before="240"/>
        <w:ind w:firstLine="540"/>
        <w:jc w:val="both"/>
        <w:rPr>
          <w:rFonts w:ascii="Times New Roman" w:hAnsi="Times New Roman" w:cs="Times New Roman"/>
          <w:lang w:val="ru-RU"/>
        </w:rPr>
      </w:pPr>
      <w:r w:rsidRPr="00D64C41">
        <w:rPr>
          <w:rFonts w:ascii="Times New Roman" w:eastAsia="Times New Roman" w:hAnsi="Times New Roman" w:cs="Times New Roman"/>
          <w:sz w:val="28"/>
          <w:szCs w:val="28"/>
          <w:lang w:val="ru-RU"/>
        </w:rPr>
        <w:t>Расчетный объем собственных доходов областного бюджета, планируемых к направлению на предоставление дотаций на выравнивание бюджетной обеспеченности муниципальных округов, городских округов, муниципальных районов, определяется исходя из необходимости обеспечения сбалансированности областного бюджета, а также с учетом изменений в разграничении расходных обязательств между уровнями государственной власти и местного самоуправления и планируемого индекса потребительских цен.</w:t>
      </w:r>
    </w:p>
    <w:p w:rsidR="00284986" w:rsidRPr="00D64C41" w:rsidRDefault="00284986">
      <w:pPr>
        <w:pStyle w:val="ConsPlusNormal"/>
        <w:jc w:val="both"/>
        <w:rPr>
          <w:rFonts w:ascii="Times New Roman" w:hAnsi="Times New Roman" w:cs="Times New Roman"/>
          <w:lang w:val="ru-RU"/>
        </w:rPr>
      </w:pPr>
    </w:p>
    <w:p w:rsidR="00284986" w:rsidRDefault="00284986">
      <w:pPr>
        <w:rPr>
          <w:rFonts w:ascii="Times New Roman" w:hAnsi="Times New Roman" w:cs="Times New Roman"/>
          <w:sz w:val="28"/>
          <w:szCs w:val="28"/>
        </w:rPr>
      </w:pPr>
    </w:p>
    <w:sectPr w:rsidR="00284986">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986" w:rsidRDefault="003E0809">
      <w:pPr>
        <w:spacing w:after="0" w:line="240" w:lineRule="auto"/>
      </w:pPr>
      <w:r>
        <w:separator/>
      </w:r>
    </w:p>
  </w:endnote>
  <w:endnote w:type="continuationSeparator" w:id="0">
    <w:p w:rsidR="00284986" w:rsidRDefault="003E0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
    <w:charset w:val="00"/>
    <w:family w:val="auto"/>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986" w:rsidRDefault="003E0809">
      <w:pPr>
        <w:spacing w:after="0" w:line="240" w:lineRule="auto"/>
      </w:pPr>
      <w:r>
        <w:separator/>
      </w:r>
    </w:p>
  </w:footnote>
  <w:footnote w:type="continuationSeparator" w:id="0">
    <w:p w:rsidR="00284986" w:rsidRDefault="003E08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986"/>
    <w:rsid w:val="00284986"/>
    <w:rsid w:val="003E0809"/>
    <w:rsid w:val="00D64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9FDAA4-920C-4DD4-97F1-8F5EEEB9E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Название Знак"/>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ac">
    <w:name w:val="Нижний колонтитул Знак"/>
    <w:link w:val="ab"/>
    <w:uiPriority w:val="99"/>
  </w:style>
  <w:style w:type="paragraph" w:styleId="ad">
    <w:name w:val="caption"/>
    <w:basedOn w:val="a"/>
    <w:next w:val="a"/>
    <w:link w:val="ae"/>
    <w:uiPriority w:val="35"/>
    <w:semiHidden/>
    <w:unhideWhenUsed/>
    <w:qFormat/>
    <w:rPr>
      <w:b/>
      <w:bCs/>
      <w:color w:val="5B9BD5" w:themeColor="accent1"/>
      <w:sz w:val="18"/>
      <w:szCs w:val="18"/>
    </w:rPr>
  </w:style>
  <w:style w:type="character" w:customStyle="1" w:styleId="ae">
    <w:name w:val="Название объекта Знак"/>
    <w:link w:val="ad"/>
    <w:uiPriority w:val="35"/>
    <w:rPr>
      <w:b/>
      <w:bCs/>
      <w:color w:val="5B9BD5" w:themeColor="accent1"/>
      <w:sz w:val="18"/>
      <w:szCs w:val="18"/>
    </w:rPr>
  </w:style>
  <w:style w:type="table" w:styleId="a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0">
    <w:name w:val="Hyperlink"/>
    <w:uiPriority w:val="99"/>
    <w:unhideWhenUsed/>
    <w:rPr>
      <w:color w:val="0563C1" w:themeColor="hyperlink"/>
      <w:u w:val="single"/>
    </w:r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No Spacing"/>
    <w:basedOn w:val="a"/>
    <w:uiPriority w:val="1"/>
    <w:qFormat/>
    <w:pPr>
      <w:spacing w:after="0" w:line="240" w:lineRule="auto"/>
    </w:pPr>
  </w:style>
  <w:style w:type="paragraph" w:styleId="afa">
    <w:name w:val="List Paragraph"/>
    <w:basedOn w:val="a"/>
    <w:uiPriority w:val="34"/>
    <w:qFormat/>
    <w:pPr>
      <w:ind w:left="720"/>
      <w:contextualSpacing/>
    </w:pPr>
  </w:style>
  <w:style w:type="paragraph" w:customStyle="1" w:styleId="ConsPlusNormal">
    <w:name w:val="ConsPlus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NewRoman" w:eastAsia="TimesNewRoman" w:hAnsi="TimesNewRoman" w:cs="TimesNewRoman"/>
      <w:sz w:val="24"/>
      <w:szCs w:val="20"/>
      <w:lang w:val="en-US" w:eastAsia="zh-CN"/>
    </w:rPr>
  </w:style>
  <w:style w:type="paragraph" w:customStyle="1" w:styleId="ConsPlusTitle">
    <w:name w:val="ConsPlusTitle"/>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b/>
      <w:sz w:val="24"/>
      <w:szCs w:val="20"/>
      <w:lang w:val="en-US" w:eastAsia="zh-CN"/>
    </w:rPr>
  </w:style>
  <w:style w:type="paragraph" w:customStyle="1" w:styleId="ConsPlusNormal0">
    <w:name w:val="ConsPlusNormal"/>
    <w:pPr>
      <w:pBdr>
        <w:top w:val="none" w:sz="4" w:space="0" w:color="000000"/>
        <w:left w:val="none" w:sz="4" w:space="0" w:color="000000"/>
        <w:bottom w:val="none" w:sz="4" w:space="0" w:color="000000"/>
        <w:right w:val="none" w:sz="4" w:space="0" w:color="000000"/>
        <w:between w:val="none" w:sz="4" w:space="0" w:color="000000"/>
      </w:pBdr>
      <w:shd w:val="clear" w:color="000000" w:fill="auto"/>
      <w:spacing w:after="0" w:line="240" w:lineRule="auto"/>
    </w:pPr>
    <w:rPr>
      <w:rFonts w:ascii="Calibri" w:eastAsia="Calibri" w:hAnsi="Calibri" w:cs="Calibri"/>
      <w:color w:val="000000"/>
      <w:sz w:val="24"/>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media1.sv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6093</Words>
  <Characters>34736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Мотина Елена Ивановна</dc:creator>
  <cp:lastModifiedBy>Мотина Елена Ивановна</cp:lastModifiedBy>
  <cp:revision>3</cp:revision>
  <dcterms:created xsi:type="dcterms:W3CDTF">2025-10-31T12:29:00Z</dcterms:created>
  <dcterms:modified xsi:type="dcterms:W3CDTF">2025-10-31T12:31:00Z</dcterms:modified>
</cp:coreProperties>
</file>